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A25" w:rsidRPr="00BA1A25" w:rsidRDefault="00BA1A25" w:rsidP="00BA1A25">
      <w:pPr>
        <w:spacing w:before="120" w:after="120" w:line="280" w:lineRule="atLeast"/>
        <w:jc w:val="center"/>
        <w:rPr>
          <w:rFonts w:ascii="Arial" w:hAnsi="Arial" w:cs="Arial"/>
          <w:b/>
          <w:sz w:val="22"/>
          <w:szCs w:val="22"/>
          <w:u w:val="single"/>
        </w:rPr>
      </w:pPr>
      <w:r>
        <w:rPr>
          <w:rFonts w:ascii="Arial" w:hAnsi="Arial" w:cs="Arial"/>
          <w:b/>
          <w:sz w:val="22"/>
          <w:szCs w:val="22"/>
          <w:u w:val="single"/>
        </w:rPr>
        <w:t>ΜΕΛΕΤΗ ΠΕΡΙΠΤΩΣΗΣ</w:t>
      </w:r>
    </w:p>
    <w:p w:rsidR="00BA1A25" w:rsidRDefault="00BA1A25" w:rsidP="00C23391">
      <w:pPr>
        <w:spacing w:before="120" w:after="120" w:line="280" w:lineRule="atLeast"/>
        <w:jc w:val="both"/>
        <w:rPr>
          <w:rFonts w:ascii="Arial" w:hAnsi="Arial" w:cs="Arial"/>
          <w:sz w:val="22"/>
          <w:szCs w:val="22"/>
        </w:rPr>
      </w:pPr>
    </w:p>
    <w:p w:rsidR="00C23391" w:rsidRDefault="00C23391" w:rsidP="00C23391">
      <w:pPr>
        <w:spacing w:before="120" w:after="120" w:line="280" w:lineRule="atLeast"/>
        <w:jc w:val="both"/>
        <w:rPr>
          <w:rFonts w:ascii="Arial" w:hAnsi="Arial" w:cs="Arial"/>
          <w:sz w:val="22"/>
          <w:szCs w:val="22"/>
        </w:rPr>
      </w:pPr>
      <w:r>
        <w:rPr>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82550</wp:posOffset>
            </wp:positionV>
            <wp:extent cx="1525270" cy="2173605"/>
            <wp:effectExtent l="0" t="0" r="0" b="0"/>
            <wp:wrapSquare wrapText="bothSides"/>
            <wp:docPr id="1" name="Picture 1" descr="2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270" cy="2173605"/>
                    </a:xfrm>
                    <a:prstGeom prst="rect">
                      <a:avLst/>
                    </a:prstGeom>
                    <a:noFill/>
                  </pic:spPr>
                </pic:pic>
              </a:graphicData>
            </a:graphic>
            <wp14:sizeRelH relativeFrom="page">
              <wp14:pctWidth>0</wp14:pctWidth>
            </wp14:sizeRelH>
            <wp14:sizeRelV relativeFrom="page">
              <wp14:pctHeight>0</wp14:pctHeight>
            </wp14:sizeRelV>
          </wp:anchor>
        </w:drawing>
      </w:r>
      <w:r w:rsidRPr="00462BD2">
        <w:rPr>
          <w:rFonts w:ascii="Arial" w:hAnsi="Arial" w:cs="Arial"/>
          <w:sz w:val="22"/>
          <w:szCs w:val="22"/>
        </w:rPr>
        <w:t xml:space="preserve">Η INNOX-TUBE κατασκευάζει δοχεία </w:t>
      </w:r>
      <w:r w:rsidRPr="007E1897">
        <w:rPr>
          <w:rFonts w:ascii="Arial" w:hAnsi="Arial" w:cs="Arial"/>
          <w:b/>
          <w:sz w:val="22"/>
          <w:szCs w:val="22"/>
        </w:rPr>
        <w:t>innox</w:t>
      </w:r>
      <w:r w:rsidRPr="00462BD2">
        <w:rPr>
          <w:rFonts w:ascii="Arial" w:hAnsi="Arial" w:cs="Arial"/>
          <w:sz w:val="22"/>
          <w:szCs w:val="22"/>
        </w:rPr>
        <w:t xml:space="preserve"> για τη βιομηχανία τροφίμων και ποτών. Για ένα προϊόν της χρειάζεται ετήσια 8400 αναδευτήρες (έλικες), για τους οποίους έλαβε προσφορές από δύο επιχειρήσεις με τιμές ανάλογες του όγκου παραγγελίας (κάθε μεμονωμένης παραγγελίας)</w:t>
      </w:r>
      <w:r>
        <w:rPr>
          <w:rFonts w:ascii="Arial" w:hAnsi="Arial" w:cs="Arial"/>
          <w:sz w:val="22"/>
          <w:szCs w:val="22"/>
        </w:rPr>
        <w:t>,</w:t>
      </w:r>
      <w:r w:rsidRPr="00462BD2">
        <w:rPr>
          <w:rFonts w:ascii="Arial" w:hAnsi="Arial" w:cs="Arial"/>
          <w:sz w:val="22"/>
          <w:szCs w:val="22"/>
        </w:rPr>
        <w:t xml:space="preserve"> όπως στον παρακάτω πίνακα. Το κόστος παραγγελίας για την κάθε περίπτωση είναι σταθερό</w:t>
      </w:r>
      <w:r>
        <w:rPr>
          <w:rFonts w:ascii="Arial" w:hAnsi="Arial" w:cs="Arial"/>
          <w:sz w:val="22"/>
          <w:szCs w:val="22"/>
        </w:rPr>
        <w:t xml:space="preserve"> και</w:t>
      </w:r>
      <w:r w:rsidRPr="00462BD2">
        <w:rPr>
          <w:rFonts w:ascii="Arial" w:hAnsi="Arial" w:cs="Arial"/>
          <w:sz w:val="22"/>
          <w:szCs w:val="22"/>
        </w:rPr>
        <w:t xml:space="preserve"> ίσο με 50 Ευρώ, ενώ το κόστος αποθήκευσης υπολογίζεται στο 50% του κόστους αγοράς του εξαρτήματος. </w:t>
      </w:r>
      <w:r w:rsidRPr="007F7309">
        <w:rPr>
          <w:rFonts w:ascii="Arial" w:hAnsi="Arial" w:cs="Arial"/>
          <w:sz w:val="22"/>
          <w:szCs w:val="22"/>
        </w:rPr>
        <w:t>Αναφορικά με τι</w:t>
      </w:r>
      <w:r w:rsidRPr="00462BD2">
        <w:rPr>
          <w:rFonts w:ascii="Arial" w:hAnsi="Arial" w:cs="Arial"/>
          <w:sz w:val="22"/>
          <w:szCs w:val="22"/>
        </w:rPr>
        <w:t>ς δύο προσφορές υπάρχει ο δεσμευτικός όρος για τη διατήρηση του μεγέθους παραγγελίας που θα επιλεγεί για όλο το χρόνο.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6"/>
        <w:gridCol w:w="1806"/>
        <w:gridCol w:w="1582"/>
      </w:tblGrid>
      <w:tr w:rsidR="00C23391" w:rsidTr="002D0A6D">
        <w:trPr>
          <w:trHeight w:val="397"/>
          <w:jc w:val="right"/>
        </w:trPr>
        <w:tc>
          <w:tcPr>
            <w:tcW w:w="3202" w:type="dxa"/>
            <w:gridSpan w:val="2"/>
            <w:tcBorders>
              <w:right w:val="single" w:sz="18" w:space="0" w:color="auto"/>
            </w:tcBorders>
            <w:shd w:val="clear" w:color="auto" w:fill="FFFFFF"/>
            <w:vAlign w:val="center"/>
          </w:tcPr>
          <w:p w:rsidR="00C23391" w:rsidRPr="00481DA9" w:rsidRDefault="00C23391" w:rsidP="002D0A6D">
            <w:pPr>
              <w:tabs>
                <w:tab w:val="center" w:pos="4153"/>
                <w:tab w:val="right" w:pos="8306"/>
              </w:tabs>
              <w:spacing w:after="0"/>
              <w:jc w:val="center"/>
              <w:rPr>
                <w:rFonts w:ascii="Arial" w:eastAsia="Times New Roman" w:hAnsi="Arial" w:cs="Arial"/>
                <w:b/>
                <w:snapToGrid w:val="0"/>
                <w:lang w:val="en-US"/>
              </w:rPr>
            </w:pPr>
            <w:r w:rsidRPr="00481DA9">
              <w:rPr>
                <w:rFonts w:ascii="Arial" w:eastAsia="Times New Roman" w:hAnsi="Arial" w:cs="Arial"/>
                <w:b/>
                <w:snapToGrid w:val="0"/>
                <w:lang w:val="en-US"/>
              </w:rPr>
              <w:t>UNITED COMPONENTS</w:t>
            </w:r>
          </w:p>
        </w:tc>
        <w:tc>
          <w:tcPr>
            <w:tcW w:w="3388" w:type="dxa"/>
            <w:gridSpan w:val="2"/>
            <w:tcBorders>
              <w:left w:val="single" w:sz="18" w:space="0" w:color="auto"/>
            </w:tcBorders>
            <w:shd w:val="clear" w:color="auto" w:fill="FFFFFF"/>
            <w:vAlign w:val="center"/>
          </w:tcPr>
          <w:p w:rsidR="00C23391" w:rsidRPr="00481DA9" w:rsidRDefault="00C23391" w:rsidP="002D0A6D">
            <w:pPr>
              <w:tabs>
                <w:tab w:val="center" w:pos="4153"/>
                <w:tab w:val="right" w:pos="8306"/>
              </w:tabs>
              <w:spacing w:after="0"/>
              <w:jc w:val="center"/>
              <w:rPr>
                <w:rFonts w:ascii="Arial" w:eastAsia="Times New Roman" w:hAnsi="Arial" w:cs="Arial"/>
                <w:b/>
                <w:snapToGrid w:val="0"/>
              </w:rPr>
            </w:pPr>
            <w:r w:rsidRPr="00481DA9">
              <w:rPr>
                <w:rFonts w:ascii="Arial" w:eastAsia="Times New Roman" w:hAnsi="Arial" w:cs="Arial"/>
                <w:b/>
                <w:snapToGrid w:val="0"/>
              </w:rPr>
              <w:t>ΗΛΕΚΤΡΟΕΙΣΑΓΩΓΙΚΗ</w:t>
            </w:r>
          </w:p>
        </w:tc>
      </w:tr>
      <w:tr w:rsidR="00C23391" w:rsidTr="002D0A6D">
        <w:trPr>
          <w:trHeight w:val="397"/>
          <w:jc w:val="right"/>
        </w:trPr>
        <w:tc>
          <w:tcPr>
            <w:tcW w:w="1606" w:type="dxa"/>
            <w:shd w:val="clear" w:color="auto" w:fill="A6A6A6"/>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Ποσότητα</w:t>
            </w:r>
          </w:p>
        </w:tc>
        <w:tc>
          <w:tcPr>
            <w:tcW w:w="1596" w:type="dxa"/>
            <w:tcBorders>
              <w:right w:val="single" w:sz="18" w:space="0" w:color="auto"/>
            </w:tcBorders>
            <w:shd w:val="clear" w:color="auto" w:fill="A6A6A6"/>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Τιμή (Ευρώ)</w:t>
            </w:r>
          </w:p>
        </w:tc>
        <w:tc>
          <w:tcPr>
            <w:tcW w:w="1806" w:type="dxa"/>
            <w:tcBorders>
              <w:left w:val="single" w:sz="18" w:space="0" w:color="auto"/>
            </w:tcBorders>
            <w:shd w:val="clear" w:color="auto" w:fill="A6A6A6"/>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Ποσότητα</w:t>
            </w:r>
          </w:p>
        </w:tc>
        <w:tc>
          <w:tcPr>
            <w:tcW w:w="1582" w:type="dxa"/>
            <w:shd w:val="clear" w:color="auto" w:fill="A6A6A6"/>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Τιμή (Ευρώ)</w:t>
            </w:r>
          </w:p>
        </w:tc>
      </w:tr>
      <w:tr w:rsidR="00C23391" w:rsidTr="002D0A6D">
        <w:trPr>
          <w:trHeight w:val="397"/>
          <w:jc w:val="right"/>
        </w:trPr>
        <w:tc>
          <w:tcPr>
            <w:tcW w:w="1606" w:type="dxa"/>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w:t>
            </w:r>
            <w:r>
              <w:rPr>
                <w:rFonts w:ascii="Arial" w:eastAsia="Times New Roman" w:hAnsi="Arial" w:cs="Arial"/>
                <w:snapToGrid w:val="0"/>
              </w:rPr>
              <w:t xml:space="preserve"> </w:t>
            </w:r>
            <w:r w:rsidRPr="00990A65">
              <w:rPr>
                <w:rFonts w:ascii="Arial" w:eastAsia="Times New Roman" w:hAnsi="Arial" w:cs="Arial"/>
                <w:snapToGrid w:val="0"/>
              </w:rPr>
              <w:t>-</w:t>
            </w:r>
            <w:r>
              <w:rPr>
                <w:rFonts w:ascii="Arial" w:eastAsia="Times New Roman" w:hAnsi="Arial" w:cs="Arial"/>
                <w:snapToGrid w:val="0"/>
              </w:rPr>
              <w:t xml:space="preserve"> </w:t>
            </w:r>
            <w:r w:rsidRPr="00990A65">
              <w:rPr>
                <w:rFonts w:ascii="Arial" w:eastAsia="Times New Roman" w:hAnsi="Arial" w:cs="Arial"/>
                <w:snapToGrid w:val="0"/>
              </w:rPr>
              <w:t>499</w:t>
            </w:r>
          </w:p>
        </w:tc>
        <w:tc>
          <w:tcPr>
            <w:tcW w:w="1596" w:type="dxa"/>
            <w:tcBorders>
              <w:right w:val="single" w:sz="18" w:space="0" w:color="auto"/>
            </w:tcBorders>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16,00</w:t>
            </w:r>
          </w:p>
        </w:tc>
        <w:tc>
          <w:tcPr>
            <w:tcW w:w="1806" w:type="dxa"/>
            <w:tcBorders>
              <w:left w:val="single" w:sz="18" w:space="0" w:color="auto"/>
            </w:tcBorders>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w:t>
            </w:r>
            <w:r>
              <w:rPr>
                <w:rFonts w:ascii="Arial" w:eastAsia="Times New Roman" w:hAnsi="Arial" w:cs="Arial"/>
                <w:snapToGrid w:val="0"/>
              </w:rPr>
              <w:t xml:space="preserve"> </w:t>
            </w:r>
            <w:r w:rsidRPr="00990A65">
              <w:rPr>
                <w:rFonts w:ascii="Arial" w:eastAsia="Times New Roman" w:hAnsi="Arial" w:cs="Arial"/>
                <w:snapToGrid w:val="0"/>
              </w:rPr>
              <w:t>-</w:t>
            </w:r>
            <w:r>
              <w:rPr>
                <w:rFonts w:ascii="Arial" w:eastAsia="Times New Roman" w:hAnsi="Arial" w:cs="Arial"/>
                <w:snapToGrid w:val="0"/>
              </w:rPr>
              <w:t xml:space="preserve"> </w:t>
            </w:r>
            <w:r w:rsidRPr="00990A65">
              <w:rPr>
                <w:rFonts w:ascii="Arial" w:eastAsia="Times New Roman" w:hAnsi="Arial" w:cs="Arial"/>
                <w:snapToGrid w:val="0"/>
              </w:rPr>
              <w:t>399</w:t>
            </w:r>
          </w:p>
        </w:tc>
        <w:tc>
          <w:tcPr>
            <w:tcW w:w="1582" w:type="dxa"/>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16,10</w:t>
            </w:r>
          </w:p>
        </w:tc>
      </w:tr>
      <w:tr w:rsidR="00C23391" w:rsidTr="002D0A6D">
        <w:trPr>
          <w:trHeight w:val="397"/>
          <w:jc w:val="right"/>
        </w:trPr>
        <w:tc>
          <w:tcPr>
            <w:tcW w:w="1606" w:type="dxa"/>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500</w:t>
            </w:r>
            <w:r>
              <w:rPr>
                <w:rFonts w:ascii="Arial" w:eastAsia="Times New Roman" w:hAnsi="Arial" w:cs="Arial"/>
                <w:snapToGrid w:val="0"/>
              </w:rPr>
              <w:t xml:space="preserve"> </w:t>
            </w:r>
            <w:r w:rsidRPr="00990A65">
              <w:rPr>
                <w:rFonts w:ascii="Arial" w:eastAsia="Times New Roman" w:hAnsi="Arial" w:cs="Arial"/>
                <w:snapToGrid w:val="0"/>
              </w:rPr>
              <w:t>-</w:t>
            </w:r>
            <w:r>
              <w:rPr>
                <w:rFonts w:ascii="Arial" w:eastAsia="Times New Roman" w:hAnsi="Arial" w:cs="Arial"/>
                <w:snapToGrid w:val="0"/>
              </w:rPr>
              <w:t xml:space="preserve"> </w:t>
            </w:r>
            <w:r w:rsidRPr="00990A65">
              <w:rPr>
                <w:rFonts w:ascii="Arial" w:eastAsia="Times New Roman" w:hAnsi="Arial" w:cs="Arial"/>
                <w:snapToGrid w:val="0"/>
              </w:rPr>
              <w:t>999</w:t>
            </w:r>
          </w:p>
        </w:tc>
        <w:tc>
          <w:tcPr>
            <w:tcW w:w="1596" w:type="dxa"/>
            <w:tcBorders>
              <w:right w:val="single" w:sz="18" w:space="0" w:color="auto"/>
            </w:tcBorders>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15,50</w:t>
            </w:r>
          </w:p>
        </w:tc>
        <w:tc>
          <w:tcPr>
            <w:tcW w:w="1806" w:type="dxa"/>
            <w:tcBorders>
              <w:left w:val="single" w:sz="18" w:space="0" w:color="auto"/>
            </w:tcBorders>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400</w:t>
            </w:r>
            <w:r>
              <w:rPr>
                <w:rFonts w:ascii="Arial" w:eastAsia="Times New Roman" w:hAnsi="Arial" w:cs="Arial"/>
                <w:snapToGrid w:val="0"/>
              </w:rPr>
              <w:t xml:space="preserve"> </w:t>
            </w:r>
            <w:r w:rsidRPr="00990A65">
              <w:rPr>
                <w:rFonts w:ascii="Arial" w:eastAsia="Times New Roman" w:hAnsi="Arial" w:cs="Arial"/>
                <w:snapToGrid w:val="0"/>
              </w:rPr>
              <w:t>-</w:t>
            </w:r>
            <w:r>
              <w:rPr>
                <w:rFonts w:ascii="Arial" w:eastAsia="Times New Roman" w:hAnsi="Arial" w:cs="Arial"/>
                <w:snapToGrid w:val="0"/>
              </w:rPr>
              <w:t xml:space="preserve"> </w:t>
            </w:r>
            <w:r w:rsidRPr="00990A65">
              <w:rPr>
                <w:rFonts w:ascii="Arial" w:eastAsia="Times New Roman" w:hAnsi="Arial" w:cs="Arial"/>
                <w:snapToGrid w:val="0"/>
              </w:rPr>
              <w:t>799</w:t>
            </w:r>
          </w:p>
        </w:tc>
        <w:tc>
          <w:tcPr>
            <w:tcW w:w="1582" w:type="dxa"/>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15,60</w:t>
            </w:r>
          </w:p>
        </w:tc>
      </w:tr>
      <w:tr w:rsidR="00C23391" w:rsidTr="002D0A6D">
        <w:trPr>
          <w:trHeight w:val="397"/>
          <w:jc w:val="right"/>
        </w:trPr>
        <w:tc>
          <w:tcPr>
            <w:tcW w:w="1606" w:type="dxa"/>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1000</w:t>
            </w:r>
            <w:r>
              <w:rPr>
                <w:rFonts w:ascii="Arial" w:eastAsia="Times New Roman" w:hAnsi="Arial" w:cs="Arial"/>
                <w:snapToGrid w:val="0"/>
              </w:rPr>
              <w:t xml:space="preserve"> </w:t>
            </w:r>
            <w:r w:rsidRPr="00990A65">
              <w:rPr>
                <w:rFonts w:ascii="Arial" w:eastAsia="Times New Roman" w:hAnsi="Arial" w:cs="Arial"/>
                <w:snapToGrid w:val="0"/>
              </w:rPr>
              <w:t>+</w:t>
            </w:r>
          </w:p>
        </w:tc>
        <w:tc>
          <w:tcPr>
            <w:tcW w:w="1596" w:type="dxa"/>
            <w:tcBorders>
              <w:right w:val="single" w:sz="18" w:space="0" w:color="auto"/>
            </w:tcBorders>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15,00</w:t>
            </w:r>
          </w:p>
        </w:tc>
        <w:tc>
          <w:tcPr>
            <w:tcW w:w="1806" w:type="dxa"/>
            <w:tcBorders>
              <w:left w:val="single" w:sz="18" w:space="0" w:color="auto"/>
            </w:tcBorders>
            <w:shd w:val="clear" w:color="auto" w:fill="D9D9D9"/>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800</w:t>
            </w:r>
            <w:r>
              <w:rPr>
                <w:rFonts w:ascii="Arial" w:eastAsia="Times New Roman" w:hAnsi="Arial" w:cs="Arial"/>
                <w:snapToGrid w:val="0"/>
              </w:rPr>
              <w:t xml:space="preserve"> </w:t>
            </w:r>
            <w:r w:rsidRPr="00990A65">
              <w:rPr>
                <w:rFonts w:ascii="Arial" w:eastAsia="Times New Roman" w:hAnsi="Arial" w:cs="Arial"/>
                <w:snapToGrid w:val="0"/>
              </w:rPr>
              <w:t>+</w:t>
            </w:r>
          </w:p>
        </w:tc>
        <w:tc>
          <w:tcPr>
            <w:tcW w:w="1582" w:type="dxa"/>
            <w:shd w:val="clear" w:color="auto" w:fill="auto"/>
            <w:vAlign w:val="center"/>
          </w:tcPr>
          <w:p w:rsidR="00C23391" w:rsidRPr="00990A65" w:rsidRDefault="00C23391" w:rsidP="002D0A6D">
            <w:pPr>
              <w:tabs>
                <w:tab w:val="center" w:pos="4153"/>
                <w:tab w:val="right" w:pos="8306"/>
              </w:tabs>
              <w:spacing w:after="0"/>
              <w:jc w:val="center"/>
              <w:rPr>
                <w:rFonts w:ascii="Arial" w:eastAsia="Times New Roman" w:hAnsi="Arial" w:cs="Arial"/>
                <w:snapToGrid w:val="0"/>
              </w:rPr>
            </w:pPr>
            <w:r w:rsidRPr="00990A65">
              <w:rPr>
                <w:rFonts w:ascii="Arial" w:eastAsia="Times New Roman" w:hAnsi="Arial" w:cs="Arial"/>
                <w:snapToGrid w:val="0"/>
              </w:rPr>
              <w:t>15,10</w:t>
            </w:r>
          </w:p>
        </w:tc>
      </w:tr>
    </w:tbl>
    <w:p w:rsidR="00C23391" w:rsidRDefault="00C23391" w:rsidP="00C23391">
      <w:pPr>
        <w:spacing w:after="0" w:line="280" w:lineRule="atLeast"/>
        <w:jc w:val="both"/>
        <w:rPr>
          <w:rFonts w:ascii="Arial" w:hAnsi="Arial" w:cs="Arial"/>
          <w:sz w:val="22"/>
          <w:szCs w:val="22"/>
        </w:rPr>
      </w:pPr>
    </w:p>
    <w:tbl>
      <w:tblPr>
        <w:tblW w:w="0" w:type="auto"/>
        <w:tblInd w:w="108" w:type="dxa"/>
        <w:tblLook w:val="04A0" w:firstRow="1" w:lastRow="0" w:firstColumn="1" w:lastColumn="0" w:noHBand="0" w:noVBand="1"/>
      </w:tblPr>
      <w:tblGrid>
        <w:gridCol w:w="851"/>
        <w:gridCol w:w="709"/>
        <w:gridCol w:w="6662"/>
        <w:gridCol w:w="850"/>
      </w:tblGrid>
      <w:tr w:rsidR="00C23391" w:rsidRPr="006B7415" w:rsidTr="002D0A6D">
        <w:tc>
          <w:tcPr>
            <w:tcW w:w="1560" w:type="dxa"/>
            <w:gridSpan w:val="2"/>
            <w:shd w:val="clear" w:color="auto" w:fill="D9D9D9"/>
          </w:tcPr>
          <w:p w:rsidR="00C23391" w:rsidRPr="008A6CA6" w:rsidRDefault="00C23391" w:rsidP="002D0A6D">
            <w:pPr>
              <w:spacing w:before="120" w:after="120" w:line="280" w:lineRule="atLeast"/>
              <w:jc w:val="right"/>
              <w:rPr>
                <w:rFonts w:ascii="Arial" w:hAnsi="Arial" w:cs="Arial"/>
                <w:b/>
                <w:color w:val="000000"/>
                <w:sz w:val="20"/>
                <w:szCs w:val="20"/>
              </w:rPr>
            </w:pPr>
            <w:r w:rsidRPr="008A6CA6">
              <w:rPr>
                <w:rFonts w:ascii="Arial" w:hAnsi="Arial" w:cs="Arial"/>
                <w:b/>
                <w:color w:val="000000"/>
                <w:sz w:val="20"/>
                <w:szCs w:val="20"/>
              </w:rPr>
              <w:t>Ερωτήσεις:</w:t>
            </w:r>
          </w:p>
        </w:tc>
        <w:tc>
          <w:tcPr>
            <w:tcW w:w="6662" w:type="dxa"/>
            <w:shd w:val="clear" w:color="auto" w:fill="D9D9D9"/>
          </w:tcPr>
          <w:p w:rsidR="00C23391" w:rsidRPr="008A6CA6" w:rsidRDefault="00C23391" w:rsidP="002D0A6D">
            <w:pPr>
              <w:spacing w:before="120" w:after="120" w:line="280" w:lineRule="atLeast"/>
              <w:jc w:val="both"/>
              <w:rPr>
                <w:rFonts w:ascii="Arial" w:hAnsi="Arial" w:cs="Arial"/>
                <w:sz w:val="20"/>
                <w:szCs w:val="20"/>
              </w:rPr>
            </w:pPr>
          </w:p>
        </w:tc>
        <w:tc>
          <w:tcPr>
            <w:tcW w:w="850" w:type="dxa"/>
            <w:shd w:val="clear" w:color="auto" w:fill="D9D9D9"/>
          </w:tcPr>
          <w:p w:rsidR="00C23391" w:rsidRPr="006B7415" w:rsidRDefault="00C23391" w:rsidP="002D0A6D">
            <w:pPr>
              <w:spacing w:before="120" w:after="120" w:line="280" w:lineRule="atLeast"/>
              <w:jc w:val="both"/>
              <w:rPr>
                <w:rFonts w:ascii="Arial" w:hAnsi="Arial" w:cs="Arial"/>
                <w:sz w:val="22"/>
                <w:szCs w:val="22"/>
              </w:rPr>
            </w:pPr>
          </w:p>
        </w:tc>
      </w:tr>
      <w:tr w:rsidR="00C23391" w:rsidRPr="006B7415" w:rsidTr="002D0A6D">
        <w:tc>
          <w:tcPr>
            <w:tcW w:w="851" w:type="dxa"/>
            <w:shd w:val="clear" w:color="auto" w:fill="D9D9D9"/>
          </w:tcPr>
          <w:p w:rsidR="00C23391" w:rsidRPr="008A5BD8" w:rsidRDefault="00C23391" w:rsidP="002D0A6D">
            <w:pPr>
              <w:spacing w:before="120" w:after="120" w:line="280" w:lineRule="atLeast"/>
              <w:jc w:val="right"/>
              <w:rPr>
                <w:rFonts w:ascii="Arial" w:hAnsi="Arial" w:cs="Arial"/>
                <w:b/>
                <w:color w:val="000000"/>
                <w:sz w:val="22"/>
                <w:szCs w:val="22"/>
              </w:rPr>
            </w:pPr>
            <w:r w:rsidRPr="008A5BD8">
              <w:rPr>
                <w:rFonts w:ascii="Arial" w:hAnsi="Arial" w:cs="Arial"/>
                <w:b/>
                <w:color w:val="000000"/>
                <w:sz w:val="22"/>
                <w:szCs w:val="22"/>
              </w:rPr>
              <w:t>1</w:t>
            </w:r>
          </w:p>
        </w:tc>
        <w:tc>
          <w:tcPr>
            <w:tcW w:w="7371" w:type="dxa"/>
            <w:gridSpan w:val="2"/>
            <w:tcBorders>
              <w:right w:val="single" w:sz="4" w:space="0" w:color="auto"/>
            </w:tcBorders>
            <w:shd w:val="clear" w:color="auto" w:fill="D9D9D9"/>
          </w:tcPr>
          <w:p w:rsidR="00C23391" w:rsidRPr="008A6CA6" w:rsidRDefault="00C23391" w:rsidP="00B37C81">
            <w:pPr>
              <w:spacing w:before="120" w:after="120" w:line="280" w:lineRule="atLeast"/>
              <w:jc w:val="both"/>
              <w:rPr>
                <w:rFonts w:ascii="Arial" w:hAnsi="Arial" w:cs="Arial"/>
                <w:color w:val="000000"/>
                <w:sz w:val="20"/>
                <w:szCs w:val="20"/>
              </w:rPr>
            </w:pPr>
            <w:r w:rsidRPr="008A6CA6">
              <w:rPr>
                <w:rFonts w:ascii="Arial" w:hAnsi="Arial" w:cs="Arial"/>
                <w:sz w:val="20"/>
                <w:szCs w:val="20"/>
              </w:rPr>
              <w:t>Ποια είναι η τιμή της Οικονομ</w:t>
            </w:r>
            <w:r w:rsidR="00B37C81">
              <w:rPr>
                <w:rFonts w:ascii="Arial" w:hAnsi="Arial" w:cs="Arial"/>
                <w:sz w:val="20"/>
                <w:szCs w:val="20"/>
              </w:rPr>
              <w:t>ικής Ποσότητας Παραγγελίας</w:t>
            </w:r>
            <w:r w:rsidRPr="008A6CA6">
              <w:rPr>
                <w:rFonts w:ascii="Arial" w:hAnsi="Arial" w:cs="Arial"/>
                <w:sz w:val="20"/>
                <w:szCs w:val="20"/>
              </w:rPr>
              <w:t xml:space="preserve"> για τον κάθε προμηθευτή, για την κάθε διαφορετική τιμή αγοράς; Ποιες από αυτές τις τιμές </w:t>
            </w:r>
            <w:bookmarkStart w:id="0" w:name="_GoBack"/>
            <w:bookmarkEnd w:id="0"/>
            <w:r w:rsidRPr="008A6CA6">
              <w:rPr>
                <w:rFonts w:ascii="Arial" w:hAnsi="Arial" w:cs="Arial"/>
                <w:sz w:val="20"/>
                <w:szCs w:val="20"/>
              </w:rPr>
              <w:t>είναι ρεαλιστικές και μπορούν να υιοθετηθούν από την INNOX-TUBE και γιατί;</w:t>
            </w:r>
          </w:p>
        </w:tc>
        <w:tc>
          <w:tcPr>
            <w:tcW w:w="850" w:type="dxa"/>
            <w:tcBorders>
              <w:left w:val="single" w:sz="4" w:space="0" w:color="auto"/>
            </w:tcBorders>
            <w:shd w:val="clear" w:color="auto" w:fill="D9D9D9"/>
          </w:tcPr>
          <w:p w:rsidR="00C23391" w:rsidRPr="006B7415" w:rsidRDefault="00C23391" w:rsidP="002D0A6D">
            <w:pPr>
              <w:spacing w:before="120" w:after="120" w:line="280" w:lineRule="atLeast"/>
              <w:jc w:val="center"/>
              <w:rPr>
                <w:rFonts w:ascii="Arial" w:hAnsi="Arial" w:cs="Arial"/>
                <w:color w:val="000000"/>
                <w:sz w:val="22"/>
                <w:szCs w:val="22"/>
              </w:rPr>
            </w:pPr>
          </w:p>
        </w:tc>
      </w:tr>
      <w:tr w:rsidR="00C23391" w:rsidRPr="006B7415" w:rsidTr="002D0A6D">
        <w:tc>
          <w:tcPr>
            <w:tcW w:w="851" w:type="dxa"/>
            <w:shd w:val="clear" w:color="auto" w:fill="D9D9D9"/>
          </w:tcPr>
          <w:p w:rsidR="00C23391" w:rsidRPr="008A5BD8" w:rsidRDefault="00C23391" w:rsidP="002D0A6D">
            <w:pPr>
              <w:spacing w:before="120" w:after="120" w:line="280" w:lineRule="atLeast"/>
              <w:jc w:val="right"/>
              <w:rPr>
                <w:rFonts w:ascii="Arial" w:hAnsi="Arial" w:cs="Arial"/>
                <w:b/>
                <w:color w:val="000000"/>
                <w:sz w:val="22"/>
                <w:szCs w:val="22"/>
              </w:rPr>
            </w:pPr>
            <w:r w:rsidRPr="008A5BD8">
              <w:rPr>
                <w:rFonts w:ascii="Arial" w:hAnsi="Arial" w:cs="Arial"/>
                <w:b/>
                <w:color w:val="000000"/>
                <w:sz w:val="22"/>
                <w:szCs w:val="22"/>
              </w:rPr>
              <w:t>2</w:t>
            </w:r>
          </w:p>
        </w:tc>
        <w:tc>
          <w:tcPr>
            <w:tcW w:w="7371" w:type="dxa"/>
            <w:gridSpan w:val="2"/>
            <w:tcBorders>
              <w:right w:val="single" w:sz="4" w:space="0" w:color="auto"/>
            </w:tcBorders>
            <w:shd w:val="clear" w:color="auto" w:fill="D9D9D9"/>
          </w:tcPr>
          <w:p w:rsidR="00C23391" w:rsidRPr="008A6CA6" w:rsidRDefault="00C23391" w:rsidP="00545607">
            <w:pPr>
              <w:spacing w:before="120" w:after="120" w:line="280" w:lineRule="atLeast"/>
              <w:jc w:val="both"/>
              <w:rPr>
                <w:rFonts w:ascii="Arial" w:hAnsi="Arial" w:cs="Arial"/>
                <w:sz w:val="20"/>
                <w:szCs w:val="20"/>
              </w:rPr>
            </w:pPr>
            <w:r w:rsidRPr="008A6CA6">
              <w:rPr>
                <w:rFonts w:ascii="Arial" w:hAnsi="Arial" w:cs="Arial"/>
                <w:sz w:val="20"/>
                <w:szCs w:val="20"/>
              </w:rPr>
              <w:t>(α) Ποια ποσότητα πρέπει να παραγγέλνει η INNOX-TUBE και ποιος προμηθευτής θα πρέπει να επιλεγεί;</w:t>
            </w:r>
          </w:p>
        </w:tc>
        <w:tc>
          <w:tcPr>
            <w:tcW w:w="850" w:type="dxa"/>
            <w:tcBorders>
              <w:left w:val="single" w:sz="4" w:space="0" w:color="auto"/>
            </w:tcBorders>
            <w:shd w:val="clear" w:color="auto" w:fill="D9D9D9"/>
          </w:tcPr>
          <w:p w:rsidR="00C23391" w:rsidRPr="006B7415" w:rsidRDefault="00C23391" w:rsidP="002D0A6D">
            <w:pPr>
              <w:spacing w:before="120" w:after="120" w:line="280" w:lineRule="atLeast"/>
              <w:jc w:val="center"/>
              <w:rPr>
                <w:rFonts w:ascii="Arial" w:hAnsi="Arial" w:cs="Arial"/>
                <w:sz w:val="22"/>
                <w:szCs w:val="22"/>
              </w:rPr>
            </w:pPr>
          </w:p>
        </w:tc>
      </w:tr>
      <w:tr w:rsidR="00C23391" w:rsidRPr="006B7415" w:rsidTr="002D0A6D">
        <w:tc>
          <w:tcPr>
            <w:tcW w:w="851" w:type="dxa"/>
            <w:shd w:val="clear" w:color="auto" w:fill="D9D9D9"/>
          </w:tcPr>
          <w:p w:rsidR="00C23391" w:rsidRPr="008A5BD8" w:rsidRDefault="00C23391" w:rsidP="002D0A6D">
            <w:pPr>
              <w:spacing w:before="120" w:after="120" w:line="280" w:lineRule="atLeast"/>
              <w:jc w:val="right"/>
              <w:rPr>
                <w:rFonts w:ascii="Arial" w:hAnsi="Arial" w:cs="Arial"/>
                <w:b/>
                <w:color w:val="000000"/>
                <w:sz w:val="22"/>
                <w:szCs w:val="22"/>
              </w:rPr>
            </w:pPr>
          </w:p>
        </w:tc>
        <w:tc>
          <w:tcPr>
            <w:tcW w:w="7371" w:type="dxa"/>
            <w:gridSpan w:val="2"/>
            <w:tcBorders>
              <w:right w:val="single" w:sz="4" w:space="0" w:color="auto"/>
            </w:tcBorders>
            <w:shd w:val="clear" w:color="auto" w:fill="D9D9D9"/>
          </w:tcPr>
          <w:p w:rsidR="00C23391" w:rsidRPr="008A6CA6" w:rsidRDefault="00C23391" w:rsidP="00545607">
            <w:pPr>
              <w:spacing w:before="120" w:after="120" w:line="280" w:lineRule="atLeast"/>
              <w:jc w:val="both"/>
              <w:rPr>
                <w:rFonts w:ascii="Arial" w:hAnsi="Arial" w:cs="Arial"/>
                <w:sz w:val="20"/>
                <w:szCs w:val="20"/>
              </w:rPr>
            </w:pPr>
            <w:r w:rsidRPr="008A6CA6">
              <w:rPr>
                <w:rFonts w:ascii="Arial" w:hAnsi="Arial" w:cs="Arial"/>
                <w:sz w:val="20"/>
                <w:szCs w:val="20"/>
              </w:rPr>
              <w:t>(β) Ποια είναι η διαφορά στο συνολικό κόστος αν η INNOX-TUBE αυξήσει την ποσότητα παραγγελίας που υπολόγισε ως την καλύτερη κατά 10%;</w:t>
            </w:r>
            <w:r w:rsidR="00545607" w:rsidRPr="00BA1A25">
              <w:rPr>
                <w:rFonts w:ascii="Arial" w:hAnsi="Arial" w:cs="Arial"/>
                <w:sz w:val="20"/>
                <w:szCs w:val="20"/>
              </w:rPr>
              <w:t xml:space="preserve"> </w:t>
            </w:r>
            <w:r w:rsidRPr="008A6CA6">
              <w:rPr>
                <w:rFonts w:ascii="Arial" w:hAnsi="Arial" w:cs="Arial"/>
                <w:sz w:val="20"/>
                <w:szCs w:val="20"/>
              </w:rPr>
              <w:t xml:space="preserve">Σχολιάστε το αποτέλεσμα αναφορικά με το μέγεθός του και τις αιτίες που προκαλούν αυτή τη διαφορά. </w:t>
            </w:r>
          </w:p>
        </w:tc>
        <w:tc>
          <w:tcPr>
            <w:tcW w:w="850" w:type="dxa"/>
            <w:tcBorders>
              <w:left w:val="single" w:sz="4" w:space="0" w:color="auto"/>
            </w:tcBorders>
            <w:shd w:val="clear" w:color="auto" w:fill="D9D9D9"/>
          </w:tcPr>
          <w:p w:rsidR="00C23391" w:rsidRPr="006B7415" w:rsidRDefault="00C23391" w:rsidP="008A6CA6">
            <w:pPr>
              <w:spacing w:before="120" w:after="120" w:line="280" w:lineRule="atLeast"/>
              <w:rPr>
                <w:rFonts w:ascii="Arial" w:hAnsi="Arial" w:cs="Arial"/>
                <w:sz w:val="22"/>
                <w:szCs w:val="22"/>
              </w:rPr>
            </w:pPr>
          </w:p>
        </w:tc>
      </w:tr>
      <w:tr w:rsidR="00C23391" w:rsidRPr="006B7415" w:rsidTr="002D0A6D">
        <w:tc>
          <w:tcPr>
            <w:tcW w:w="851" w:type="dxa"/>
            <w:shd w:val="clear" w:color="auto" w:fill="D9D9D9"/>
          </w:tcPr>
          <w:p w:rsidR="00C23391" w:rsidRPr="008A5BD8" w:rsidRDefault="008A6CA6" w:rsidP="002D0A6D">
            <w:pPr>
              <w:spacing w:before="120" w:after="120" w:line="280" w:lineRule="atLeast"/>
              <w:jc w:val="right"/>
              <w:rPr>
                <w:rFonts w:ascii="Arial" w:hAnsi="Arial" w:cs="Arial"/>
                <w:b/>
                <w:color w:val="000000"/>
                <w:sz w:val="22"/>
                <w:szCs w:val="22"/>
              </w:rPr>
            </w:pPr>
            <w:r>
              <w:rPr>
                <w:rFonts w:ascii="Arial" w:hAnsi="Arial" w:cs="Arial"/>
                <w:b/>
                <w:color w:val="000000"/>
                <w:sz w:val="22"/>
                <w:szCs w:val="22"/>
              </w:rPr>
              <w:t>3</w:t>
            </w:r>
          </w:p>
        </w:tc>
        <w:tc>
          <w:tcPr>
            <w:tcW w:w="7371" w:type="dxa"/>
            <w:gridSpan w:val="2"/>
            <w:tcBorders>
              <w:right w:val="single" w:sz="4" w:space="0" w:color="auto"/>
            </w:tcBorders>
            <w:shd w:val="clear" w:color="auto" w:fill="D9D9D9"/>
          </w:tcPr>
          <w:p w:rsidR="00C23391" w:rsidRPr="008A6CA6" w:rsidRDefault="00C23391" w:rsidP="002D0A6D">
            <w:pPr>
              <w:spacing w:before="120" w:after="120" w:line="280" w:lineRule="atLeast"/>
              <w:jc w:val="both"/>
              <w:rPr>
                <w:rFonts w:ascii="Arial" w:hAnsi="Arial" w:cs="Arial"/>
                <w:sz w:val="20"/>
                <w:szCs w:val="20"/>
              </w:rPr>
            </w:pPr>
            <w:r w:rsidRPr="008A6CA6">
              <w:rPr>
                <w:rFonts w:ascii="Arial" w:hAnsi="Arial" w:cs="Arial"/>
                <w:sz w:val="20"/>
                <w:szCs w:val="20"/>
              </w:rPr>
              <w:t>(α) Ποιοι παράγοντες θα μπορούσαν να είναι υπεύθυνοι για το σχετικά υψηλό κόστος αποθήκευσης (διατήρησης) του εξαρτήματος (50% της τιμής αγοράς);</w:t>
            </w:r>
          </w:p>
        </w:tc>
        <w:tc>
          <w:tcPr>
            <w:tcW w:w="850" w:type="dxa"/>
            <w:tcBorders>
              <w:left w:val="single" w:sz="4" w:space="0" w:color="auto"/>
            </w:tcBorders>
            <w:shd w:val="clear" w:color="auto" w:fill="D9D9D9"/>
          </w:tcPr>
          <w:p w:rsidR="00C23391" w:rsidRDefault="00C23391" w:rsidP="008A6CA6">
            <w:pPr>
              <w:spacing w:before="120" w:after="120" w:line="280" w:lineRule="atLeast"/>
              <w:rPr>
                <w:rFonts w:ascii="Arial" w:hAnsi="Arial" w:cs="Arial"/>
                <w:sz w:val="22"/>
                <w:szCs w:val="22"/>
              </w:rPr>
            </w:pPr>
          </w:p>
        </w:tc>
      </w:tr>
      <w:tr w:rsidR="00C23391" w:rsidRPr="006B7415" w:rsidTr="002D0A6D">
        <w:tc>
          <w:tcPr>
            <w:tcW w:w="851" w:type="dxa"/>
            <w:shd w:val="clear" w:color="auto" w:fill="D9D9D9"/>
          </w:tcPr>
          <w:p w:rsidR="00C23391" w:rsidRPr="008A5BD8" w:rsidRDefault="00C23391" w:rsidP="002D0A6D">
            <w:pPr>
              <w:spacing w:before="120" w:after="120" w:line="280" w:lineRule="atLeast"/>
              <w:jc w:val="right"/>
              <w:rPr>
                <w:rFonts w:ascii="Arial" w:hAnsi="Arial" w:cs="Arial"/>
                <w:b/>
                <w:color w:val="000000"/>
                <w:sz w:val="22"/>
                <w:szCs w:val="22"/>
              </w:rPr>
            </w:pPr>
          </w:p>
        </w:tc>
        <w:tc>
          <w:tcPr>
            <w:tcW w:w="7371" w:type="dxa"/>
            <w:gridSpan w:val="2"/>
            <w:tcBorders>
              <w:right w:val="single" w:sz="4" w:space="0" w:color="auto"/>
            </w:tcBorders>
            <w:shd w:val="clear" w:color="auto" w:fill="D9D9D9"/>
          </w:tcPr>
          <w:p w:rsidR="00C23391" w:rsidRPr="008A6CA6" w:rsidRDefault="00C23391" w:rsidP="002D0A6D">
            <w:pPr>
              <w:spacing w:before="120" w:after="120" w:line="280" w:lineRule="atLeast"/>
              <w:jc w:val="both"/>
              <w:rPr>
                <w:rFonts w:ascii="Arial" w:hAnsi="Arial" w:cs="Arial"/>
                <w:sz w:val="20"/>
                <w:szCs w:val="20"/>
              </w:rPr>
            </w:pPr>
            <w:r w:rsidRPr="008A6CA6">
              <w:rPr>
                <w:rFonts w:ascii="Arial" w:hAnsi="Arial" w:cs="Arial"/>
                <w:sz w:val="20"/>
                <w:szCs w:val="20"/>
              </w:rPr>
              <w:t>(β) Ποιοι άλλοι παράγοντες θα πρέπει να ληφθούν κατά τη γνώμη σας υπόψη κατά την επιλογή του προμηθευτή, εκτός από το συνολικό κόστος του αποθέματος;</w:t>
            </w:r>
          </w:p>
        </w:tc>
        <w:tc>
          <w:tcPr>
            <w:tcW w:w="850" w:type="dxa"/>
            <w:tcBorders>
              <w:left w:val="single" w:sz="4" w:space="0" w:color="auto"/>
            </w:tcBorders>
            <w:shd w:val="clear" w:color="auto" w:fill="D9D9D9"/>
          </w:tcPr>
          <w:p w:rsidR="00C23391" w:rsidRPr="003E548D" w:rsidRDefault="00C23391" w:rsidP="008A6CA6">
            <w:pPr>
              <w:spacing w:before="120" w:after="120" w:line="280" w:lineRule="atLeast"/>
              <w:rPr>
                <w:rFonts w:ascii="Arial" w:hAnsi="Arial" w:cs="Arial"/>
                <w:sz w:val="22"/>
                <w:szCs w:val="22"/>
              </w:rPr>
            </w:pPr>
          </w:p>
        </w:tc>
      </w:tr>
    </w:tbl>
    <w:p w:rsidR="00AA569C" w:rsidRDefault="00AA569C" w:rsidP="008A6CA6"/>
    <w:p w:rsidR="007779CD" w:rsidRDefault="007779CD" w:rsidP="008A6CA6"/>
    <w:p w:rsidR="007779CD" w:rsidRDefault="007779CD" w:rsidP="008A6CA6">
      <w:r w:rsidRPr="007779CD">
        <w:rPr>
          <w:noProof/>
          <w:lang w:val="en-US"/>
        </w:rPr>
        <w:lastRenderedPageBreak/>
        <w:drawing>
          <wp:inline distT="0" distB="0" distL="0" distR="0">
            <wp:extent cx="6756696" cy="272827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9158" cy="2729271"/>
                    </a:xfrm>
                    <a:prstGeom prst="rect">
                      <a:avLst/>
                    </a:prstGeom>
                    <a:noFill/>
                    <a:ln>
                      <a:noFill/>
                    </a:ln>
                  </pic:spPr>
                </pic:pic>
              </a:graphicData>
            </a:graphic>
          </wp:inline>
        </w:drawing>
      </w:r>
    </w:p>
    <w:p w:rsidR="002F6676" w:rsidRDefault="002F6676" w:rsidP="008A6CA6">
      <w:pPr>
        <w:rPr>
          <w:noProof/>
          <w:lang w:val="en-US"/>
        </w:rPr>
      </w:pPr>
      <w:r>
        <w:rPr>
          <w:noProof/>
          <w:lang w:val="en-US"/>
        </w:rPr>
        <w:t>---------------------------------------------------------------------------------------------------------------------</w:t>
      </w:r>
    </w:p>
    <w:p w:rsidR="007779CD" w:rsidRDefault="007779CD" w:rsidP="008A6CA6">
      <w:r w:rsidRPr="007779CD">
        <w:rPr>
          <w:noProof/>
          <w:lang w:val="en-US"/>
        </w:rPr>
        <w:drawing>
          <wp:inline distT="0" distB="0" distL="0" distR="0">
            <wp:extent cx="6803811"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4114" cy="3090773"/>
                    </a:xfrm>
                    <a:prstGeom prst="rect">
                      <a:avLst/>
                    </a:prstGeom>
                    <a:noFill/>
                    <a:ln>
                      <a:noFill/>
                    </a:ln>
                  </pic:spPr>
                </pic:pic>
              </a:graphicData>
            </a:graphic>
          </wp:inline>
        </w:drawing>
      </w:r>
    </w:p>
    <w:sectPr w:rsidR="00777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8D" w:rsidRDefault="0009698D" w:rsidP="008A6CA6">
      <w:pPr>
        <w:spacing w:after="0"/>
      </w:pPr>
      <w:r>
        <w:separator/>
      </w:r>
    </w:p>
  </w:endnote>
  <w:endnote w:type="continuationSeparator" w:id="0">
    <w:p w:rsidR="0009698D" w:rsidRDefault="0009698D" w:rsidP="008A6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8D" w:rsidRDefault="0009698D" w:rsidP="008A6CA6">
      <w:pPr>
        <w:spacing w:after="0"/>
      </w:pPr>
      <w:r>
        <w:separator/>
      </w:r>
    </w:p>
  </w:footnote>
  <w:footnote w:type="continuationSeparator" w:id="0">
    <w:p w:rsidR="0009698D" w:rsidRDefault="0009698D" w:rsidP="008A6C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10"/>
    <w:rsid w:val="0009698D"/>
    <w:rsid w:val="002F6676"/>
    <w:rsid w:val="00545607"/>
    <w:rsid w:val="00571910"/>
    <w:rsid w:val="005A250E"/>
    <w:rsid w:val="007779CD"/>
    <w:rsid w:val="00807AB5"/>
    <w:rsid w:val="008A6CA6"/>
    <w:rsid w:val="00A35B7B"/>
    <w:rsid w:val="00AA569C"/>
    <w:rsid w:val="00B37C81"/>
    <w:rsid w:val="00BA1A25"/>
    <w:rsid w:val="00C2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570C6-5140-432C-A32E-600F0C4A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91"/>
    <w:pPr>
      <w:spacing w:after="200" w:line="240" w:lineRule="auto"/>
    </w:pPr>
    <w:rPr>
      <w:rFonts w:ascii="Times New Roman" w:eastAsia="Cambria" w:hAnsi="Times New Roman" w:cs="Times New Roman"/>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A6"/>
    <w:pPr>
      <w:tabs>
        <w:tab w:val="center" w:pos="4680"/>
        <w:tab w:val="right" w:pos="9360"/>
      </w:tabs>
      <w:spacing w:after="0"/>
    </w:pPr>
  </w:style>
  <w:style w:type="character" w:customStyle="1" w:styleId="HeaderChar">
    <w:name w:val="Header Char"/>
    <w:basedOn w:val="DefaultParagraphFont"/>
    <w:link w:val="Header"/>
    <w:uiPriority w:val="99"/>
    <w:rsid w:val="008A6CA6"/>
    <w:rPr>
      <w:rFonts w:ascii="Times New Roman" w:eastAsia="Cambria" w:hAnsi="Times New Roman" w:cs="Times New Roman"/>
      <w:sz w:val="24"/>
      <w:szCs w:val="24"/>
      <w:lang w:val="el-GR"/>
    </w:rPr>
  </w:style>
  <w:style w:type="paragraph" w:styleId="Footer">
    <w:name w:val="footer"/>
    <w:basedOn w:val="Normal"/>
    <w:link w:val="FooterChar"/>
    <w:uiPriority w:val="99"/>
    <w:unhideWhenUsed/>
    <w:rsid w:val="008A6CA6"/>
    <w:pPr>
      <w:tabs>
        <w:tab w:val="center" w:pos="4680"/>
        <w:tab w:val="right" w:pos="9360"/>
      </w:tabs>
      <w:spacing w:after="0"/>
    </w:pPr>
  </w:style>
  <w:style w:type="character" w:customStyle="1" w:styleId="FooterChar">
    <w:name w:val="Footer Char"/>
    <w:basedOn w:val="DefaultParagraphFont"/>
    <w:link w:val="Footer"/>
    <w:uiPriority w:val="99"/>
    <w:rsid w:val="008A6CA6"/>
    <w:rPr>
      <w:rFonts w:ascii="Times New Roman" w:eastAsia="Cambria"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Rachaniotis</dc:creator>
  <cp:keywords/>
  <dc:description/>
  <cp:lastModifiedBy>Nick Rachaniotis</cp:lastModifiedBy>
  <cp:revision>11</cp:revision>
  <dcterms:created xsi:type="dcterms:W3CDTF">2019-01-12T05:30:00Z</dcterms:created>
  <dcterms:modified xsi:type="dcterms:W3CDTF">2019-01-13T06:01:00Z</dcterms:modified>
</cp:coreProperties>
</file>