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41"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1472"/>
        <w:gridCol w:w="4559"/>
      </w:tblGrid>
      <w:tr w:rsidR="007C755B" w:rsidRPr="00981022" w14:paraId="48984891" w14:textId="77777777" w:rsidTr="006B2B68">
        <w:trPr>
          <w:trHeight w:val="802"/>
        </w:trPr>
        <w:tc>
          <w:tcPr>
            <w:tcW w:w="2071" w:type="pct"/>
            <w:vAlign w:val="center"/>
          </w:tcPr>
          <w:p w14:paraId="4815A6C3" w14:textId="77777777" w:rsidR="007C755B" w:rsidRPr="003D4B3A" w:rsidRDefault="007C755B" w:rsidP="006B2B68">
            <w:pPr>
              <w:tabs>
                <w:tab w:val="center" w:pos="3697"/>
                <w:tab w:val="right" w:pos="9000"/>
              </w:tabs>
              <w:ind w:right="40"/>
              <w:jc w:val="right"/>
              <w:rPr>
                <w:rFonts w:eastAsia="Times New Roman" w:cstheme="minorHAnsi"/>
                <w:b/>
                <w:color w:val="000080"/>
                <w:sz w:val="20"/>
                <w:szCs w:val="20"/>
              </w:rPr>
            </w:pPr>
            <w:r w:rsidRPr="003D4B3A">
              <w:rPr>
                <w:rFonts w:eastAsia="Times New Roman" w:cstheme="minorHAnsi"/>
                <w:b/>
                <w:color w:val="000080"/>
                <w:sz w:val="20"/>
                <w:szCs w:val="20"/>
              </w:rPr>
              <w:t>ΠΑΝΕΠΙΣΤΗΜΙΟ ΠΕΙΡΑΙΩΣ</w:t>
            </w:r>
          </w:p>
          <w:p w14:paraId="01AB6135" w14:textId="77777777" w:rsidR="007C755B" w:rsidRPr="003D4B3A" w:rsidRDefault="007C755B" w:rsidP="006B2B68">
            <w:pPr>
              <w:tabs>
                <w:tab w:val="center" w:pos="3697"/>
                <w:tab w:val="right" w:pos="9000"/>
              </w:tabs>
              <w:ind w:right="40"/>
              <w:jc w:val="right"/>
              <w:rPr>
                <w:rFonts w:cstheme="minorHAnsi"/>
                <w:b/>
                <w:sz w:val="20"/>
                <w:szCs w:val="20"/>
              </w:rPr>
            </w:pPr>
            <w:r w:rsidRPr="003D4B3A">
              <w:rPr>
                <w:rFonts w:eastAsia="Times New Roman" w:cstheme="minorHAnsi"/>
                <w:b/>
                <w:color w:val="000080"/>
                <w:sz w:val="20"/>
                <w:szCs w:val="20"/>
              </w:rPr>
              <w:t>ΣΧΟΛΗ ΝΑΥΤΙΛΙΑΣ ΚΑΙ ΒΙΟΜΗΧΑΝΙΑΣ</w:t>
            </w:r>
          </w:p>
        </w:tc>
        <w:tc>
          <w:tcPr>
            <w:tcW w:w="715" w:type="pct"/>
            <w:vMerge w:val="restart"/>
            <w:vAlign w:val="center"/>
          </w:tcPr>
          <w:p w14:paraId="26BCE3FB" w14:textId="77777777" w:rsidR="007C755B" w:rsidRPr="003D4B3A" w:rsidRDefault="007C755B" w:rsidP="006B2B68">
            <w:pPr>
              <w:pStyle w:val="Header"/>
              <w:jc w:val="center"/>
              <w:rPr>
                <w:rFonts w:cstheme="minorHAnsi"/>
                <w:b/>
                <w:sz w:val="8"/>
                <w:szCs w:val="8"/>
              </w:rPr>
            </w:pPr>
          </w:p>
          <w:p w14:paraId="3782D0BB" w14:textId="77777777" w:rsidR="007C755B" w:rsidRDefault="007C755B" w:rsidP="006B2B68">
            <w:pPr>
              <w:pStyle w:val="Header"/>
              <w:jc w:val="center"/>
              <w:rPr>
                <w:rFonts w:cstheme="minorHAnsi"/>
                <w:b/>
                <w:sz w:val="20"/>
                <w:szCs w:val="20"/>
              </w:rPr>
            </w:pPr>
          </w:p>
          <w:p w14:paraId="308E576C" w14:textId="77777777" w:rsidR="007C755B" w:rsidRPr="003D4B3A" w:rsidRDefault="007C755B" w:rsidP="006B2B68">
            <w:pPr>
              <w:pStyle w:val="Header"/>
              <w:jc w:val="center"/>
              <w:rPr>
                <w:rFonts w:cstheme="minorHAnsi"/>
                <w:b/>
                <w:sz w:val="20"/>
                <w:szCs w:val="20"/>
              </w:rPr>
            </w:pPr>
            <w:r w:rsidRPr="003D4B3A">
              <w:rPr>
                <w:rFonts w:cstheme="minorHAnsi"/>
                <w:b/>
                <w:sz w:val="20"/>
                <w:szCs w:val="20"/>
              </w:rPr>
              <w:object w:dxaOrig="7244" w:dyaOrig="8294" w14:anchorId="40C10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6.5pt" o:ole="">
                  <v:imagedata r:id="rId8" o:title=""/>
                </v:shape>
                <o:OLEObject Type="Embed" ProgID="PBrush" ShapeID="_x0000_i1025" DrawAspect="Content" ObjectID="_1761279288" r:id="rId9"/>
              </w:object>
            </w:r>
          </w:p>
        </w:tc>
        <w:tc>
          <w:tcPr>
            <w:tcW w:w="2214" w:type="pct"/>
            <w:vAlign w:val="center"/>
          </w:tcPr>
          <w:p w14:paraId="5FBC9AA1" w14:textId="77777777" w:rsidR="007C755B" w:rsidRPr="00C8695F" w:rsidRDefault="007C755B" w:rsidP="006B2B68">
            <w:pPr>
              <w:tabs>
                <w:tab w:val="center" w:pos="3683"/>
                <w:tab w:val="right" w:pos="9000"/>
              </w:tabs>
              <w:ind w:right="40"/>
              <w:rPr>
                <w:rFonts w:eastAsia="Times New Roman" w:cstheme="minorHAnsi"/>
                <w:b/>
                <w:color w:val="000080"/>
                <w:sz w:val="20"/>
                <w:szCs w:val="20"/>
                <w:lang w:val="en-US"/>
              </w:rPr>
            </w:pPr>
            <w:r w:rsidRPr="00C8695F">
              <w:rPr>
                <w:rFonts w:eastAsia="Times New Roman" w:cstheme="minorHAnsi"/>
                <w:b/>
                <w:color w:val="000080"/>
                <w:sz w:val="20"/>
                <w:szCs w:val="20"/>
                <w:lang w:val="en-US"/>
              </w:rPr>
              <w:t>UNIVERSITY OF PIRAEUS</w:t>
            </w:r>
          </w:p>
          <w:p w14:paraId="61850EDE" w14:textId="77777777" w:rsidR="007C755B" w:rsidRPr="003D4B3A" w:rsidRDefault="007C755B" w:rsidP="006B2B68">
            <w:pPr>
              <w:tabs>
                <w:tab w:val="center" w:pos="3683"/>
                <w:tab w:val="right" w:pos="9000"/>
              </w:tabs>
              <w:ind w:right="40"/>
              <w:rPr>
                <w:rFonts w:eastAsia="Times New Roman" w:cstheme="minorHAnsi"/>
                <w:b/>
                <w:color w:val="000080"/>
                <w:sz w:val="20"/>
                <w:szCs w:val="20"/>
                <w:lang w:val="en-US"/>
              </w:rPr>
            </w:pPr>
            <w:r w:rsidRPr="003D4B3A">
              <w:rPr>
                <w:rFonts w:eastAsia="Times New Roman" w:cstheme="minorHAnsi"/>
                <w:b/>
                <w:color w:val="000080"/>
                <w:sz w:val="20"/>
                <w:szCs w:val="20"/>
                <w:lang w:val="en-US"/>
              </w:rPr>
              <w:t xml:space="preserve">SCHOOL OF MARITIME </w:t>
            </w:r>
            <w:r>
              <w:rPr>
                <w:rFonts w:eastAsia="Times New Roman" w:cstheme="minorHAnsi"/>
                <w:b/>
                <w:color w:val="000080"/>
                <w:sz w:val="20"/>
                <w:szCs w:val="20"/>
                <w:lang w:val="en-US"/>
              </w:rPr>
              <w:t>AND</w:t>
            </w:r>
            <w:r w:rsidRPr="003D4B3A">
              <w:rPr>
                <w:rFonts w:eastAsia="Times New Roman" w:cstheme="minorHAnsi"/>
                <w:b/>
                <w:color w:val="000080"/>
                <w:sz w:val="20"/>
                <w:szCs w:val="20"/>
                <w:lang w:val="en-US"/>
              </w:rPr>
              <w:t xml:space="preserve"> INDUSTRIAL STUDIES</w:t>
            </w:r>
          </w:p>
        </w:tc>
      </w:tr>
      <w:tr w:rsidR="007C755B" w:rsidRPr="00981022" w14:paraId="27FFE1D9" w14:textId="77777777" w:rsidTr="006B2B68">
        <w:trPr>
          <w:trHeight w:val="481"/>
        </w:trPr>
        <w:tc>
          <w:tcPr>
            <w:tcW w:w="2071" w:type="pct"/>
            <w:vAlign w:val="center"/>
          </w:tcPr>
          <w:p w14:paraId="1524CE6D" w14:textId="77777777" w:rsidR="007C755B" w:rsidRPr="003D4B3A" w:rsidRDefault="007C755B" w:rsidP="006B2B68">
            <w:pPr>
              <w:tabs>
                <w:tab w:val="center" w:pos="3697"/>
                <w:tab w:val="right" w:pos="9000"/>
              </w:tabs>
              <w:ind w:right="38" w:firstLine="37"/>
              <w:jc w:val="right"/>
              <w:rPr>
                <w:rFonts w:eastAsia="Times New Roman" w:cstheme="minorHAnsi"/>
                <w:b/>
                <w:color w:val="000080"/>
                <w:sz w:val="20"/>
                <w:szCs w:val="20"/>
              </w:rPr>
            </w:pPr>
            <w:r w:rsidRPr="003D4B3A">
              <w:rPr>
                <w:rFonts w:eastAsia="Times New Roman" w:cstheme="minorHAnsi"/>
                <w:b/>
                <w:color w:val="000080"/>
                <w:sz w:val="20"/>
                <w:szCs w:val="20"/>
              </w:rPr>
              <w:t>ΤΜΗΜΑ ΒΙΟΜΗΧΑΝΙΚΗΣ ΔΙΟΙΚΗΣΗΣ</w:t>
            </w:r>
          </w:p>
          <w:p w14:paraId="400FE6B7" w14:textId="77777777" w:rsidR="007C755B" w:rsidRPr="003D4B3A" w:rsidRDefault="007C755B" w:rsidP="006B2B68">
            <w:pPr>
              <w:tabs>
                <w:tab w:val="center" w:pos="3697"/>
                <w:tab w:val="right" w:pos="9000"/>
              </w:tabs>
              <w:ind w:right="38"/>
              <w:jc w:val="right"/>
              <w:rPr>
                <w:rFonts w:cstheme="minorHAnsi"/>
                <w:b/>
                <w:sz w:val="20"/>
                <w:szCs w:val="20"/>
              </w:rPr>
            </w:pPr>
            <w:r w:rsidRPr="003D4B3A">
              <w:rPr>
                <w:rFonts w:eastAsia="Times New Roman" w:cstheme="minorHAnsi"/>
                <w:b/>
                <w:color w:val="000080"/>
                <w:sz w:val="20"/>
                <w:szCs w:val="20"/>
              </w:rPr>
              <w:t>ΚΑΙ ΤΕΧΝΟΛΟΓΙΑΣ</w:t>
            </w:r>
          </w:p>
        </w:tc>
        <w:tc>
          <w:tcPr>
            <w:tcW w:w="715" w:type="pct"/>
            <w:vMerge/>
            <w:vAlign w:val="center"/>
          </w:tcPr>
          <w:p w14:paraId="3D12E062" w14:textId="77777777" w:rsidR="007C755B" w:rsidRPr="003D4B3A" w:rsidRDefault="007C755B" w:rsidP="006B2B68">
            <w:pPr>
              <w:pStyle w:val="Header"/>
              <w:jc w:val="center"/>
              <w:rPr>
                <w:rFonts w:cstheme="minorHAnsi"/>
                <w:b/>
                <w:sz w:val="20"/>
                <w:szCs w:val="20"/>
              </w:rPr>
            </w:pPr>
          </w:p>
        </w:tc>
        <w:tc>
          <w:tcPr>
            <w:tcW w:w="2214" w:type="pct"/>
            <w:vAlign w:val="center"/>
          </w:tcPr>
          <w:p w14:paraId="1836EAA4" w14:textId="77777777" w:rsidR="007C755B" w:rsidRDefault="007C755B" w:rsidP="006B2B68">
            <w:pPr>
              <w:pStyle w:val="Header"/>
              <w:rPr>
                <w:rFonts w:eastAsia="Times New Roman" w:cstheme="minorHAnsi"/>
                <w:b/>
                <w:color w:val="000080"/>
                <w:sz w:val="20"/>
                <w:szCs w:val="20"/>
                <w:lang w:val="en-GB"/>
              </w:rPr>
            </w:pPr>
            <w:r w:rsidRPr="003D4B3A">
              <w:rPr>
                <w:rFonts w:eastAsia="Times New Roman" w:cstheme="minorHAnsi"/>
                <w:b/>
                <w:color w:val="000080"/>
                <w:sz w:val="20"/>
                <w:szCs w:val="20"/>
                <w:lang w:val="en-US"/>
              </w:rPr>
              <w:t xml:space="preserve">DEPARTMENT OF INDUSTRIAL </w:t>
            </w:r>
            <w:r w:rsidRPr="003D4B3A">
              <w:rPr>
                <w:rFonts w:eastAsia="Times New Roman" w:cstheme="minorHAnsi"/>
                <w:b/>
                <w:color w:val="000080"/>
                <w:sz w:val="20"/>
                <w:szCs w:val="20"/>
                <w:lang w:val="en-GB"/>
              </w:rPr>
              <w:t xml:space="preserve">MANAGEMENT </w:t>
            </w:r>
          </w:p>
          <w:p w14:paraId="0DD463A8" w14:textId="77777777" w:rsidR="007C755B" w:rsidRPr="003D4B3A" w:rsidRDefault="007C755B" w:rsidP="006B2B68">
            <w:pPr>
              <w:pStyle w:val="Header"/>
              <w:rPr>
                <w:rFonts w:cstheme="minorHAnsi"/>
                <w:b/>
                <w:sz w:val="20"/>
                <w:szCs w:val="20"/>
                <w:lang w:val="en-US"/>
              </w:rPr>
            </w:pPr>
            <w:r w:rsidRPr="003D4B3A">
              <w:rPr>
                <w:rFonts w:eastAsia="Times New Roman" w:cstheme="minorHAnsi"/>
                <w:b/>
                <w:color w:val="000080"/>
                <w:sz w:val="20"/>
                <w:szCs w:val="20"/>
                <w:lang w:val="en-GB"/>
              </w:rPr>
              <w:t>AND TECHNOLOGY</w:t>
            </w:r>
          </w:p>
        </w:tc>
      </w:tr>
    </w:tbl>
    <w:p w14:paraId="3EB3AF25" w14:textId="77777777" w:rsidR="007C755B" w:rsidRPr="0017714E" w:rsidRDefault="007C755B" w:rsidP="00B256BC">
      <w:pPr>
        <w:pStyle w:val="Header"/>
        <w:jc w:val="center"/>
        <w:rPr>
          <w:rFonts w:eastAsia="Times New Roman" w:cstheme="minorHAnsi"/>
          <w:b/>
          <w:color w:val="000080"/>
          <w:sz w:val="24"/>
          <w:szCs w:val="24"/>
          <w:lang w:val="en-US"/>
        </w:rPr>
      </w:pPr>
    </w:p>
    <w:p w14:paraId="1BE08C8B" w14:textId="77777777" w:rsidR="0017714E" w:rsidRPr="0029450C" w:rsidRDefault="0017714E" w:rsidP="0017714E">
      <w:pPr>
        <w:tabs>
          <w:tab w:val="center" w:pos="4153"/>
          <w:tab w:val="center" w:pos="4286"/>
          <w:tab w:val="right" w:pos="8306"/>
        </w:tabs>
        <w:ind w:left="-108" w:right="-108"/>
        <w:jc w:val="center"/>
        <w:rPr>
          <w:rFonts w:asciiTheme="minorHAnsi" w:hAnsiTheme="minorHAnsi" w:cstheme="minorHAnsi"/>
          <w:b/>
          <w:bCs/>
          <w:spacing w:val="-2"/>
          <w:sz w:val="20"/>
          <w:szCs w:val="20"/>
          <w:lang w:eastAsia="el-GR"/>
        </w:rPr>
      </w:pPr>
      <w:r w:rsidRPr="0029450C">
        <w:rPr>
          <w:rFonts w:eastAsia="Times New Roman" w:cstheme="minorHAnsi"/>
          <w:b/>
          <w:color w:val="0B389D"/>
          <w:sz w:val="20"/>
          <w:szCs w:val="20"/>
        </w:rPr>
        <w:t>ΠΡΟΓΡΑΜΜΑ ΜΕΤΑΠΤΥΧΙΑΚΩΝ ΣΠΟΥΔΩΝ «ΒΙΟΜΗΧΑΝΙΚΗ ΔΙΟΙΚΗΣΗ ΚΑΙ ΤΕΧΝΟΛΟΓΙΑ»</w:t>
      </w:r>
    </w:p>
    <w:p w14:paraId="104AFAE9" w14:textId="68541541" w:rsidR="0017714E" w:rsidRDefault="00486EA6" w:rsidP="00C01D1D">
      <w:pPr>
        <w:spacing w:after="0" w:line="240" w:lineRule="auto"/>
        <w:ind w:left="142"/>
        <w:jc w:val="center"/>
        <w:rPr>
          <w:b/>
          <w:color w:val="1F3864" w:themeColor="accent1" w:themeShade="80"/>
          <w:sz w:val="28"/>
          <w:szCs w:val="28"/>
        </w:rPr>
      </w:pPr>
      <w:r>
        <w:rPr>
          <w:b/>
          <w:color w:val="1F3864" w:themeColor="accent1" w:themeShade="80"/>
          <w:sz w:val="28"/>
          <w:szCs w:val="28"/>
        </w:rPr>
        <w:t>Ανθρωπιστική Εφοδιαστική Αλυσίδα</w:t>
      </w:r>
    </w:p>
    <w:p w14:paraId="7CC05D50" w14:textId="7AC8CC2E" w:rsidR="00741716" w:rsidRDefault="00741716" w:rsidP="00C01D1D">
      <w:pPr>
        <w:spacing w:after="0" w:line="240" w:lineRule="auto"/>
        <w:ind w:left="142"/>
        <w:jc w:val="center"/>
        <w:rPr>
          <w:b/>
          <w:color w:val="1F3864" w:themeColor="accent1" w:themeShade="80"/>
          <w:sz w:val="28"/>
          <w:szCs w:val="28"/>
        </w:rPr>
      </w:pPr>
    </w:p>
    <w:p w14:paraId="7E3BA707" w14:textId="3D8B8A45" w:rsidR="00741716" w:rsidRPr="00BE4FC8" w:rsidRDefault="00BE4FC8" w:rsidP="00BE4FC8">
      <w:pPr>
        <w:spacing w:after="0" w:line="240" w:lineRule="auto"/>
        <w:jc w:val="both"/>
        <w:rPr>
          <w:b/>
          <w:color w:val="1F3864" w:themeColor="accent1" w:themeShade="80"/>
          <w:sz w:val="28"/>
          <w:szCs w:val="28"/>
          <w:lang w:val="en-US"/>
        </w:rPr>
      </w:pPr>
      <w:r w:rsidRPr="00946431">
        <w:rPr>
          <w:b/>
          <w:color w:val="1F3864" w:themeColor="accent1" w:themeShade="80"/>
          <w:sz w:val="28"/>
          <w:szCs w:val="28"/>
          <w:u w:val="single"/>
          <w:lang w:val="en-US"/>
        </w:rPr>
        <w:t>Written assignment</w:t>
      </w:r>
      <w:r w:rsidR="00946431">
        <w:rPr>
          <w:b/>
          <w:color w:val="1F3864" w:themeColor="accent1" w:themeShade="80"/>
          <w:sz w:val="28"/>
          <w:szCs w:val="28"/>
          <w:u w:val="single"/>
          <w:lang w:val="en-US"/>
        </w:rPr>
        <w:t>:</w:t>
      </w:r>
      <w:r w:rsidR="00946431">
        <w:rPr>
          <w:b/>
          <w:color w:val="1F3864" w:themeColor="accent1" w:themeShade="80"/>
          <w:sz w:val="28"/>
          <w:szCs w:val="28"/>
          <w:lang w:val="en-US"/>
        </w:rPr>
        <w:t xml:space="preserve"> Select a disaster (either man-made or natural) that hit</w:t>
      </w:r>
      <w:r w:rsidRPr="00BE4FC8">
        <w:rPr>
          <w:b/>
          <w:color w:val="1F3864" w:themeColor="accent1" w:themeShade="80"/>
          <w:sz w:val="28"/>
          <w:szCs w:val="28"/>
          <w:lang w:val="en-US"/>
        </w:rPr>
        <w:t xml:space="preserve"> </w:t>
      </w:r>
      <w:r w:rsidR="00946431">
        <w:rPr>
          <w:b/>
          <w:color w:val="1F3864" w:themeColor="accent1" w:themeShade="80"/>
          <w:sz w:val="28"/>
          <w:szCs w:val="28"/>
          <w:lang w:val="en-US"/>
        </w:rPr>
        <w:t>a region anywhere in the world</w:t>
      </w:r>
      <w:r w:rsidRPr="00BE4FC8">
        <w:rPr>
          <w:b/>
          <w:color w:val="1F3864" w:themeColor="accent1" w:themeShade="80"/>
          <w:sz w:val="28"/>
          <w:szCs w:val="28"/>
          <w:lang w:val="en-US"/>
        </w:rPr>
        <w:t xml:space="preserve">, causing massive destruction and the need for an immediate humanitarian response. </w:t>
      </w:r>
      <w:r w:rsidR="00946431">
        <w:rPr>
          <w:b/>
          <w:color w:val="1F3864" w:themeColor="accent1" w:themeShade="80"/>
          <w:sz w:val="28"/>
          <w:szCs w:val="28"/>
          <w:lang w:val="en-US"/>
        </w:rPr>
        <w:t>E</w:t>
      </w:r>
      <w:r w:rsidRPr="00BE4FC8">
        <w:rPr>
          <w:b/>
          <w:color w:val="1F3864" w:themeColor="accent1" w:themeShade="80"/>
          <w:sz w:val="28"/>
          <w:szCs w:val="28"/>
          <w:lang w:val="en-US"/>
        </w:rPr>
        <w:t>xamine</w:t>
      </w:r>
      <w:r w:rsidR="00946431">
        <w:rPr>
          <w:b/>
          <w:color w:val="1F3864" w:themeColor="accent1" w:themeShade="80"/>
          <w:sz w:val="28"/>
          <w:szCs w:val="28"/>
          <w:lang w:val="en-US"/>
        </w:rPr>
        <w:t xml:space="preserve"> thoroughly</w:t>
      </w:r>
      <w:r w:rsidRPr="00BE4FC8">
        <w:rPr>
          <w:b/>
          <w:color w:val="1F3864" w:themeColor="accent1" w:themeShade="80"/>
          <w:sz w:val="28"/>
          <w:szCs w:val="28"/>
          <w:lang w:val="en-US"/>
        </w:rPr>
        <w:t xml:space="preserve"> the humanitarian supply chain established t</w:t>
      </w:r>
      <w:r w:rsidR="00946431">
        <w:rPr>
          <w:b/>
          <w:color w:val="1F3864" w:themeColor="accent1" w:themeShade="80"/>
          <w:sz w:val="28"/>
          <w:szCs w:val="28"/>
          <w:lang w:val="en-US"/>
        </w:rPr>
        <w:t>o cope with the effects of the disaster</w:t>
      </w:r>
      <w:r w:rsidRPr="00BE4FC8">
        <w:rPr>
          <w:b/>
          <w:color w:val="1F3864" w:themeColor="accent1" w:themeShade="80"/>
          <w:sz w:val="28"/>
          <w:szCs w:val="28"/>
          <w:lang w:val="en-US"/>
        </w:rPr>
        <w:t>.</w:t>
      </w:r>
    </w:p>
    <w:p w14:paraId="5183C2C2" w14:textId="77777777" w:rsidR="00741716" w:rsidRPr="00BE4FC8" w:rsidRDefault="00741716" w:rsidP="00741716">
      <w:pPr>
        <w:spacing w:after="0" w:line="240" w:lineRule="auto"/>
        <w:ind w:left="142"/>
        <w:jc w:val="both"/>
        <w:rPr>
          <w:b/>
          <w:color w:val="1F3864" w:themeColor="accent1" w:themeShade="80"/>
          <w:sz w:val="28"/>
          <w:szCs w:val="28"/>
          <w:lang w:val="en-US"/>
        </w:rPr>
      </w:pPr>
    </w:p>
    <w:p w14:paraId="61402987" w14:textId="77777777" w:rsidR="006D72AC" w:rsidRPr="00BE4FC8" w:rsidRDefault="006D72AC" w:rsidP="006D72AC">
      <w:pPr>
        <w:autoSpaceDE w:val="0"/>
        <w:adjustRightInd w:val="0"/>
        <w:spacing w:after="0" w:line="240" w:lineRule="auto"/>
        <w:jc w:val="both"/>
        <w:rPr>
          <w:rFonts w:cstheme="minorHAnsi"/>
          <w:color w:val="000000"/>
          <w:lang w:val="en-US"/>
        </w:rPr>
      </w:pPr>
    </w:p>
    <w:p w14:paraId="7586129B" w14:textId="52317C15" w:rsidR="006D72AC" w:rsidRPr="00946431" w:rsidRDefault="00946431" w:rsidP="006D72AC">
      <w:pPr>
        <w:autoSpaceDE w:val="0"/>
        <w:adjustRightInd w:val="0"/>
        <w:spacing w:after="0" w:line="240" w:lineRule="auto"/>
        <w:jc w:val="both"/>
        <w:rPr>
          <w:rFonts w:cstheme="minorHAnsi"/>
          <w:color w:val="000000"/>
          <w:u w:val="single"/>
          <w:lang w:val="en-US"/>
        </w:rPr>
      </w:pPr>
      <w:r>
        <w:rPr>
          <w:rFonts w:cstheme="minorHAnsi"/>
          <w:b/>
          <w:bCs/>
          <w:color w:val="000000"/>
          <w:u w:val="single"/>
          <w:lang w:val="en-US"/>
        </w:rPr>
        <w:t>Written assignment instructions</w:t>
      </w:r>
    </w:p>
    <w:p w14:paraId="3384BA19" w14:textId="193407B6" w:rsidR="006D72AC" w:rsidRPr="006D72AC" w:rsidRDefault="00946431" w:rsidP="006D72AC">
      <w:pPr>
        <w:autoSpaceDE w:val="0"/>
        <w:adjustRightInd w:val="0"/>
        <w:spacing w:after="0" w:line="240" w:lineRule="auto"/>
        <w:jc w:val="both"/>
        <w:rPr>
          <w:rFonts w:cstheme="minorHAnsi"/>
          <w:color w:val="000000"/>
          <w:lang w:val="en-US"/>
        </w:rPr>
      </w:pPr>
      <w:r>
        <w:rPr>
          <w:rFonts w:cstheme="minorHAnsi"/>
          <w:color w:val="000000"/>
          <w:lang w:val="en-US"/>
        </w:rPr>
        <w:t>A written assignment</w:t>
      </w:r>
      <w:r w:rsidR="006D72AC" w:rsidRPr="006D72AC">
        <w:rPr>
          <w:rFonts w:cstheme="minorHAnsi"/>
          <w:color w:val="000000"/>
          <w:lang w:val="en-US"/>
        </w:rPr>
        <w:t xml:space="preserve"> is expected to be of high scholarly competence and academic standards. Hence</w:t>
      </w:r>
      <w:r>
        <w:rPr>
          <w:rFonts w:cstheme="minorHAnsi"/>
          <w:color w:val="000000"/>
          <w:lang w:val="en-US"/>
        </w:rPr>
        <w:t>, upon its completion the assignment</w:t>
      </w:r>
      <w:r w:rsidR="006D72AC" w:rsidRPr="006D72AC">
        <w:rPr>
          <w:rFonts w:cstheme="minorHAnsi"/>
          <w:color w:val="000000"/>
          <w:lang w:val="en-US"/>
        </w:rPr>
        <w:t xml:space="preserve"> must convey the message of the research clearly. Attention must be paid to the structure, syntax and </w:t>
      </w:r>
      <w:r>
        <w:rPr>
          <w:rFonts w:cstheme="minorHAnsi"/>
          <w:color w:val="000000"/>
          <w:lang w:val="en-US"/>
        </w:rPr>
        <w:t>grammar of the assignment</w:t>
      </w:r>
      <w:r w:rsidR="006D72AC" w:rsidRPr="006D72AC">
        <w:rPr>
          <w:rFonts w:cstheme="minorHAnsi"/>
          <w:color w:val="000000"/>
          <w:lang w:val="en-US"/>
        </w:rPr>
        <w:t>. Poor syntax, poor grammar, spelling errors, lack of structure, or inaccuracies in the tools, data or</w:t>
      </w:r>
      <w:r>
        <w:rPr>
          <w:rFonts w:cstheme="minorHAnsi"/>
          <w:color w:val="000000"/>
          <w:lang w:val="en-US"/>
        </w:rPr>
        <w:t xml:space="preserve"> references are important</w:t>
      </w:r>
      <w:r w:rsidR="006D72AC" w:rsidRPr="006D72AC">
        <w:rPr>
          <w:rFonts w:cstheme="minorHAnsi"/>
          <w:color w:val="000000"/>
          <w:lang w:val="en-US"/>
        </w:rPr>
        <w:t xml:space="preserve"> flaws and may lead to </w:t>
      </w:r>
      <w:r>
        <w:rPr>
          <w:rFonts w:cstheme="minorHAnsi"/>
          <w:color w:val="000000"/>
          <w:lang w:val="en-US"/>
        </w:rPr>
        <w:t>lower grading</w:t>
      </w:r>
      <w:r w:rsidR="006D72AC" w:rsidRPr="006D72AC">
        <w:rPr>
          <w:rFonts w:cstheme="minorHAnsi"/>
          <w:color w:val="000000"/>
          <w:lang w:val="en-US"/>
        </w:rPr>
        <w:t>. The content and arguments must flow logically and co</w:t>
      </w:r>
      <w:r>
        <w:rPr>
          <w:rFonts w:cstheme="minorHAnsi"/>
          <w:color w:val="000000"/>
          <w:lang w:val="en-US"/>
        </w:rPr>
        <w:t>nsistently throughout the assignment</w:t>
      </w:r>
      <w:r w:rsidR="006D72AC" w:rsidRPr="006D72AC">
        <w:rPr>
          <w:rFonts w:cstheme="minorHAnsi"/>
          <w:color w:val="000000"/>
          <w:lang w:val="en-US"/>
        </w:rPr>
        <w:t xml:space="preserve"> and must be relevant to the topic. The use of illustrations such as figures and tables is encouraged, as visual means that support and reinforce the linguistic arguments. </w:t>
      </w:r>
    </w:p>
    <w:p w14:paraId="05E4193E" w14:textId="77777777" w:rsidR="006D72AC" w:rsidRPr="006D72AC" w:rsidRDefault="006D72AC" w:rsidP="006D72AC">
      <w:pPr>
        <w:autoSpaceDE w:val="0"/>
        <w:adjustRightInd w:val="0"/>
        <w:spacing w:after="0" w:line="240" w:lineRule="auto"/>
        <w:jc w:val="both"/>
        <w:rPr>
          <w:rFonts w:cstheme="minorHAnsi"/>
          <w:color w:val="000000"/>
          <w:lang w:val="en-US"/>
        </w:rPr>
      </w:pPr>
    </w:p>
    <w:p w14:paraId="1AA90FEE" w14:textId="579045E2" w:rsidR="006D72AC" w:rsidRPr="00CA35DD" w:rsidRDefault="006D72AC" w:rsidP="006D72AC">
      <w:pPr>
        <w:autoSpaceDE w:val="0"/>
        <w:adjustRightInd w:val="0"/>
        <w:spacing w:after="0" w:line="240" w:lineRule="auto"/>
        <w:jc w:val="both"/>
        <w:rPr>
          <w:rFonts w:cstheme="minorHAnsi"/>
          <w:color w:val="000000"/>
        </w:rPr>
      </w:pPr>
      <w:r>
        <w:rPr>
          <w:rFonts w:cstheme="minorHAnsi"/>
          <w:b/>
          <w:bCs/>
          <w:color w:val="000000"/>
        </w:rPr>
        <w:t>F</w:t>
      </w:r>
      <w:r w:rsidRPr="00CA35DD">
        <w:rPr>
          <w:rFonts w:cstheme="minorHAnsi"/>
          <w:b/>
          <w:bCs/>
          <w:color w:val="000000"/>
        </w:rPr>
        <w:t>orma</w:t>
      </w:r>
      <w:r>
        <w:rPr>
          <w:rFonts w:cstheme="minorHAnsi"/>
          <w:b/>
          <w:bCs/>
          <w:color w:val="000000"/>
        </w:rPr>
        <w:t>t</w:t>
      </w:r>
      <w:r w:rsidRPr="00CA35DD">
        <w:rPr>
          <w:rFonts w:cstheme="minorHAnsi"/>
          <w:b/>
          <w:bCs/>
          <w:color w:val="000000"/>
        </w:rPr>
        <w:t xml:space="preserve"> </w:t>
      </w:r>
    </w:p>
    <w:p w14:paraId="62D4DDF9" w14:textId="273E37A8" w:rsidR="006D72AC" w:rsidRPr="006D72AC" w:rsidRDefault="006D72AC" w:rsidP="006D72AC">
      <w:pPr>
        <w:pStyle w:val="ListParagraph"/>
        <w:numPr>
          <w:ilvl w:val="0"/>
          <w:numId w:val="18"/>
        </w:numPr>
        <w:autoSpaceDE w:val="0"/>
        <w:adjustRightInd w:val="0"/>
        <w:spacing w:after="0" w:line="240" w:lineRule="auto"/>
        <w:jc w:val="both"/>
        <w:textAlignment w:val="auto"/>
        <w:rPr>
          <w:rFonts w:cstheme="minorHAnsi"/>
          <w:lang w:val="en-US"/>
        </w:rPr>
      </w:pPr>
      <w:r w:rsidRPr="006D72AC">
        <w:rPr>
          <w:rFonts w:cstheme="minorHAnsi"/>
          <w:lang w:val="en-US"/>
        </w:rPr>
        <w:t>The length o</w:t>
      </w:r>
      <w:r w:rsidR="00946431">
        <w:rPr>
          <w:rFonts w:cstheme="minorHAnsi"/>
          <w:lang w:val="en-US"/>
        </w:rPr>
        <w:t>f the assignment</w:t>
      </w:r>
      <w:r w:rsidRPr="006D72AC">
        <w:rPr>
          <w:rFonts w:cstheme="minorHAnsi"/>
          <w:lang w:val="en-US"/>
        </w:rPr>
        <w:t xml:space="preserve"> </w:t>
      </w:r>
      <w:r w:rsidR="00946431">
        <w:rPr>
          <w:rFonts w:cstheme="minorHAnsi"/>
          <w:lang w:val="en-US"/>
        </w:rPr>
        <w:t>should be around 5</w:t>
      </w:r>
      <w:r w:rsidRPr="006D72AC">
        <w:rPr>
          <w:rFonts w:cstheme="minorHAnsi"/>
          <w:lang w:val="en-US"/>
        </w:rPr>
        <w:t xml:space="preserve">,000 words. This word limit does not include appendices, the glossary (if any) that gives explanations of the abbreviations used, symbols and technical terms (if included) and the references. </w:t>
      </w:r>
    </w:p>
    <w:p w14:paraId="1B54825C" w14:textId="7570C2AC" w:rsidR="006D72AC" w:rsidRPr="006D72AC" w:rsidRDefault="006D72AC" w:rsidP="006D72AC">
      <w:pPr>
        <w:pStyle w:val="ListParagraph"/>
        <w:numPr>
          <w:ilvl w:val="0"/>
          <w:numId w:val="18"/>
        </w:numPr>
        <w:autoSpaceDE w:val="0"/>
        <w:adjustRightInd w:val="0"/>
        <w:spacing w:after="0" w:line="240" w:lineRule="auto"/>
        <w:jc w:val="both"/>
        <w:textAlignment w:val="auto"/>
        <w:rPr>
          <w:rFonts w:cstheme="minorHAnsi"/>
          <w:lang w:val="en-US"/>
        </w:rPr>
      </w:pPr>
      <w:r w:rsidRPr="006D72AC">
        <w:rPr>
          <w:rFonts w:cstheme="minorHAnsi"/>
          <w:lang w:val="en-US"/>
        </w:rPr>
        <w:t>Pages must be numbered consecutively. Page numbers should appear at the bottom right side of the page. The page numbering may commence at the title page or different numbering may be used between the front matte</w:t>
      </w:r>
      <w:r w:rsidR="00946431">
        <w:rPr>
          <w:rFonts w:cstheme="minorHAnsi"/>
          <w:lang w:val="en-US"/>
        </w:rPr>
        <w:t>r and main content of the assignment</w:t>
      </w:r>
      <w:r w:rsidRPr="006D72AC">
        <w:rPr>
          <w:rFonts w:cstheme="minorHAnsi"/>
          <w:lang w:val="en-US"/>
        </w:rPr>
        <w:t xml:space="preserve"> (e.g. Latin numbering for the front matter and Arabic numerals in the main content). In any case, the page numbering for the main content must always be in Arabic numerals. </w:t>
      </w:r>
    </w:p>
    <w:p w14:paraId="1419C24A" w14:textId="7C405095" w:rsidR="006D72AC" w:rsidRPr="006D72AC" w:rsidRDefault="006D72AC" w:rsidP="006D72AC">
      <w:pPr>
        <w:pStyle w:val="ListParagraph"/>
        <w:numPr>
          <w:ilvl w:val="0"/>
          <w:numId w:val="18"/>
        </w:numPr>
        <w:autoSpaceDE w:val="0"/>
        <w:adjustRightInd w:val="0"/>
        <w:spacing w:after="0" w:line="240" w:lineRule="auto"/>
        <w:jc w:val="both"/>
        <w:textAlignment w:val="auto"/>
        <w:rPr>
          <w:rFonts w:cstheme="minorHAnsi"/>
          <w:lang w:val="en-US"/>
        </w:rPr>
      </w:pPr>
      <w:r w:rsidRPr="006D72AC">
        <w:rPr>
          <w:rFonts w:cstheme="minorHAnsi"/>
          <w:lang w:val="en-US"/>
        </w:rPr>
        <w:t xml:space="preserve">Tables and Figures should be numbered consecutively. </w:t>
      </w:r>
    </w:p>
    <w:p w14:paraId="0775D4D8" w14:textId="77777777" w:rsidR="006D72AC" w:rsidRPr="006D72AC" w:rsidRDefault="006D72AC" w:rsidP="006D72AC">
      <w:pPr>
        <w:pStyle w:val="ListParagraph"/>
        <w:numPr>
          <w:ilvl w:val="0"/>
          <w:numId w:val="18"/>
        </w:numPr>
        <w:autoSpaceDE w:val="0"/>
        <w:adjustRightInd w:val="0"/>
        <w:spacing w:after="0" w:line="240" w:lineRule="auto"/>
        <w:jc w:val="both"/>
        <w:textAlignment w:val="auto"/>
        <w:rPr>
          <w:rFonts w:cstheme="minorHAnsi"/>
          <w:lang w:val="en-US"/>
        </w:rPr>
      </w:pPr>
      <w:r w:rsidRPr="006D72AC">
        <w:rPr>
          <w:rFonts w:cstheme="minorHAnsi"/>
          <w:lang w:val="en-US"/>
        </w:rPr>
        <w:t xml:space="preserve">Tables and Figures must be entitled and explicitly commented and referred to in the text. </w:t>
      </w:r>
    </w:p>
    <w:p w14:paraId="4E731CEA" w14:textId="77777777" w:rsidR="006D72AC" w:rsidRPr="006D72AC" w:rsidRDefault="006D72AC" w:rsidP="006D72AC">
      <w:pPr>
        <w:pStyle w:val="ListParagraph"/>
        <w:numPr>
          <w:ilvl w:val="0"/>
          <w:numId w:val="18"/>
        </w:numPr>
        <w:autoSpaceDE w:val="0"/>
        <w:adjustRightInd w:val="0"/>
        <w:spacing w:after="0" w:line="240" w:lineRule="auto"/>
        <w:jc w:val="both"/>
        <w:textAlignment w:val="auto"/>
        <w:rPr>
          <w:rFonts w:cstheme="minorHAnsi"/>
          <w:lang w:val="en-US"/>
        </w:rPr>
      </w:pPr>
      <w:r w:rsidRPr="006D72AC">
        <w:rPr>
          <w:rFonts w:cstheme="minorHAnsi"/>
          <w:lang w:val="en-US"/>
        </w:rPr>
        <w:t xml:space="preserve">Sources to original or derived Tables and Figures from other authors must always be cited (e.g. Source: Boddy, 2008 (p.227, Table 7.2)). </w:t>
      </w:r>
    </w:p>
    <w:p w14:paraId="31290A8F" w14:textId="77777777" w:rsidR="006D72AC" w:rsidRPr="006D72AC" w:rsidRDefault="006D72AC" w:rsidP="006D72AC">
      <w:pPr>
        <w:pStyle w:val="ListParagraph"/>
        <w:numPr>
          <w:ilvl w:val="0"/>
          <w:numId w:val="18"/>
        </w:numPr>
        <w:autoSpaceDE w:val="0"/>
        <w:adjustRightInd w:val="0"/>
        <w:spacing w:after="0" w:line="240" w:lineRule="auto"/>
        <w:jc w:val="both"/>
        <w:textAlignment w:val="auto"/>
        <w:rPr>
          <w:rFonts w:cstheme="minorHAnsi"/>
          <w:lang w:val="en-US"/>
        </w:rPr>
      </w:pPr>
      <w:r w:rsidRPr="006D72AC">
        <w:rPr>
          <w:rFonts w:cstheme="minorHAnsi"/>
          <w:lang w:val="en-US"/>
        </w:rPr>
        <w:t>Appendices should be explicitly cited in the text (e.g. “</w:t>
      </w:r>
      <w:r w:rsidRPr="006D72AC">
        <w:rPr>
          <w:rFonts w:cstheme="minorHAnsi"/>
          <w:i/>
          <w:iCs/>
          <w:lang w:val="en-US"/>
        </w:rPr>
        <w:t>…, which is presented analytically on Appendix B.</w:t>
      </w:r>
      <w:r w:rsidRPr="006D72AC">
        <w:rPr>
          <w:rFonts w:cstheme="minorHAnsi"/>
          <w:lang w:val="en-US"/>
        </w:rPr>
        <w:t xml:space="preserve">”). </w:t>
      </w:r>
    </w:p>
    <w:p w14:paraId="68C0DC2F" w14:textId="77777777" w:rsidR="006D72AC" w:rsidRPr="006D72AC" w:rsidRDefault="006D72AC" w:rsidP="006D72AC">
      <w:pPr>
        <w:autoSpaceDE w:val="0"/>
        <w:adjustRightInd w:val="0"/>
        <w:spacing w:after="0" w:line="240" w:lineRule="auto"/>
        <w:jc w:val="both"/>
        <w:rPr>
          <w:rFonts w:cstheme="minorHAnsi"/>
          <w:lang w:val="en-US"/>
        </w:rPr>
      </w:pPr>
    </w:p>
    <w:p w14:paraId="43367F26"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b/>
          <w:bCs/>
          <w:lang w:val="en-US"/>
        </w:rPr>
        <w:t xml:space="preserve">Front Matter </w:t>
      </w:r>
    </w:p>
    <w:p w14:paraId="1CB8A222" w14:textId="73471E3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The </w:t>
      </w:r>
      <w:r w:rsidRPr="006D72AC">
        <w:rPr>
          <w:rFonts w:cstheme="minorHAnsi"/>
          <w:i/>
          <w:iCs/>
          <w:lang w:val="en-US"/>
        </w:rPr>
        <w:t xml:space="preserve">Cover and Title Pages </w:t>
      </w:r>
      <w:r w:rsidRPr="006D72AC">
        <w:rPr>
          <w:rFonts w:cstheme="minorHAnsi"/>
          <w:lang w:val="en-US"/>
        </w:rPr>
        <w:t xml:space="preserve">of the thesis include the title of the thesis, the </w:t>
      </w:r>
      <w:r w:rsidR="00A9181E">
        <w:rPr>
          <w:rFonts w:cstheme="minorHAnsi"/>
          <w:lang w:val="en-US"/>
        </w:rPr>
        <w:t>M.Sc. program/</w:t>
      </w:r>
      <w:bookmarkStart w:id="0" w:name="_GoBack"/>
      <w:bookmarkEnd w:id="0"/>
      <w:r w:rsidRPr="006D72AC">
        <w:rPr>
          <w:rFonts w:cstheme="minorHAnsi"/>
          <w:lang w:val="en-US"/>
        </w:rPr>
        <w:t>department/university, the name of the student</w:t>
      </w:r>
      <w:r w:rsidR="00946431">
        <w:rPr>
          <w:rFonts w:cstheme="minorHAnsi"/>
          <w:lang w:val="en-US"/>
        </w:rPr>
        <w:t xml:space="preserve">s </w:t>
      </w:r>
      <w:r w:rsidRPr="006D72AC">
        <w:rPr>
          <w:rFonts w:cstheme="minorHAnsi"/>
          <w:lang w:val="en-US"/>
        </w:rPr>
        <w:t xml:space="preserve">and the academic year and month. </w:t>
      </w:r>
    </w:p>
    <w:p w14:paraId="4F93FE2A" w14:textId="77777777" w:rsidR="006D72AC" w:rsidRPr="006D72AC" w:rsidRDefault="006D72AC" w:rsidP="006D72AC">
      <w:pPr>
        <w:autoSpaceDE w:val="0"/>
        <w:adjustRightInd w:val="0"/>
        <w:spacing w:after="0" w:line="240" w:lineRule="auto"/>
        <w:jc w:val="both"/>
        <w:rPr>
          <w:rFonts w:cstheme="minorHAnsi"/>
          <w:b/>
          <w:bCs/>
          <w:lang w:val="en-US"/>
        </w:rPr>
      </w:pPr>
    </w:p>
    <w:p w14:paraId="42C93FE8"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b/>
          <w:bCs/>
          <w:lang w:val="en-US"/>
        </w:rPr>
        <w:t xml:space="preserve">Back Matter </w:t>
      </w:r>
    </w:p>
    <w:p w14:paraId="3DA58A1D" w14:textId="636BABCB"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After the conclusion, </w:t>
      </w:r>
      <w:r w:rsidRPr="006D72AC">
        <w:rPr>
          <w:rFonts w:cstheme="minorHAnsi"/>
          <w:b/>
          <w:bCs/>
          <w:lang w:val="en-US"/>
        </w:rPr>
        <w:t xml:space="preserve">references </w:t>
      </w:r>
      <w:r w:rsidRPr="006D72AC">
        <w:rPr>
          <w:rFonts w:cstheme="minorHAnsi"/>
          <w:lang w:val="en-US"/>
        </w:rPr>
        <w:t xml:space="preserve">used in the main body of the dissertation are listed. If there are </w:t>
      </w:r>
      <w:r w:rsidRPr="006D72AC">
        <w:rPr>
          <w:rFonts w:cstheme="minorHAnsi"/>
          <w:b/>
          <w:bCs/>
          <w:lang w:val="en-US"/>
        </w:rPr>
        <w:t>appendices</w:t>
      </w:r>
      <w:r w:rsidRPr="006D72AC">
        <w:rPr>
          <w:rFonts w:cstheme="minorHAnsi"/>
          <w:lang w:val="en-US"/>
        </w:rPr>
        <w:t xml:space="preserve">, they must be placed at the end of the text. </w:t>
      </w:r>
    </w:p>
    <w:p w14:paraId="12B0446B" w14:textId="77777777" w:rsidR="006D72AC" w:rsidRPr="006D72AC" w:rsidRDefault="006D72AC" w:rsidP="006D72AC">
      <w:pPr>
        <w:pageBreakBefore/>
        <w:autoSpaceDE w:val="0"/>
        <w:adjustRightInd w:val="0"/>
        <w:spacing w:after="0" w:line="240" w:lineRule="auto"/>
        <w:jc w:val="both"/>
        <w:rPr>
          <w:rFonts w:cstheme="minorHAnsi"/>
          <w:lang w:val="en-US"/>
        </w:rPr>
      </w:pPr>
    </w:p>
    <w:p w14:paraId="0F3D7419"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b/>
          <w:bCs/>
          <w:lang w:val="en-US"/>
        </w:rPr>
        <w:t xml:space="preserve">References and citations </w:t>
      </w:r>
    </w:p>
    <w:p w14:paraId="422B2649" w14:textId="3C61732B"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References are recorded should follow the Harvard Referencing System. References should be listed in alphabetical order starting with the surname of the (first) author or the (first) editor, or with the name of the corporate author (e.g. European Commission) or periodical if there is no individual author or editor. Several publications by an identical author (or group of authors) should be ordered by ascending year of publication. If the years of publication are also the same, differentiate entries by adding small letters ("a", "b", etc.) after the years (e.g. 2011a). The phrase “</w:t>
      </w:r>
      <w:r w:rsidRPr="006D72AC">
        <w:rPr>
          <w:rFonts w:cstheme="minorHAnsi"/>
          <w:i/>
          <w:iCs/>
          <w:lang w:val="en-US"/>
        </w:rPr>
        <w:t>et al.</w:t>
      </w:r>
      <w:r w:rsidRPr="006D72AC">
        <w:rPr>
          <w:rFonts w:cstheme="minorHAnsi"/>
          <w:lang w:val="en-US"/>
        </w:rPr>
        <w:t xml:space="preserve">” is used when citing a reference of three or more authors. </w:t>
      </w:r>
    </w:p>
    <w:p w14:paraId="0C689F7B"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The way the references should be written is presented below: </w:t>
      </w:r>
    </w:p>
    <w:p w14:paraId="24BAE6CF" w14:textId="77777777" w:rsidR="006D72AC" w:rsidRPr="006D72AC" w:rsidRDefault="006D72AC" w:rsidP="006D72AC">
      <w:pPr>
        <w:autoSpaceDE w:val="0"/>
        <w:adjustRightInd w:val="0"/>
        <w:spacing w:after="0" w:line="240" w:lineRule="auto"/>
        <w:jc w:val="both"/>
        <w:rPr>
          <w:rFonts w:cstheme="minorHAnsi"/>
          <w:b/>
          <w:bCs/>
          <w:i/>
          <w:iCs/>
          <w:lang w:val="en-US"/>
        </w:rPr>
      </w:pPr>
    </w:p>
    <w:p w14:paraId="728F6649"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b/>
          <w:bCs/>
          <w:i/>
          <w:iCs/>
          <w:lang w:val="en-US"/>
        </w:rPr>
        <w:t xml:space="preserve">For articles published in academic journals/periodicals: </w:t>
      </w:r>
    </w:p>
    <w:p w14:paraId="0253F7E8" w14:textId="0A829C5F"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Liu, D., Mitchell, T., Lee, T., Holtom, B. and Hinkin, T. (2012). When Employees Are Out of Step with Coworkers: How Job Satisfaction Trajectory and Dispersion Influence Individual- and Unit-Level Voluntary Turnover. </w:t>
      </w:r>
      <w:r w:rsidRPr="006D72AC">
        <w:rPr>
          <w:rFonts w:cstheme="minorHAnsi"/>
          <w:i/>
          <w:iCs/>
          <w:lang w:val="en-US"/>
        </w:rPr>
        <w:t>Academy of Management Journal</w:t>
      </w:r>
      <w:r w:rsidRPr="006D72AC">
        <w:rPr>
          <w:rFonts w:cstheme="minorHAnsi"/>
          <w:lang w:val="en-US"/>
        </w:rPr>
        <w:t xml:space="preserve">, 55(6), pp.1360-1380. </w:t>
      </w:r>
    </w:p>
    <w:p w14:paraId="6A5A3CA5"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Citation: …(Liu </w:t>
      </w:r>
      <w:r w:rsidRPr="006D72AC">
        <w:rPr>
          <w:rFonts w:cstheme="minorHAnsi"/>
          <w:i/>
          <w:iCs/>
          <w:lang w:val="en-US"/>
        </w:rPr>
        <w:t>et al.</w:t>
      </w:r>
      <w:r w:rsidRPr="006D72AC">
        <w:rPr>
          <w:rFonts w:cstheme="minorHAnsi"/>
          <w:lang w:val="en-US"/>
        </w:rPr>
        <w:t xml:space="preserve">, 2012) </w:t>
      </w:r>
      <w:r w:rsidRPr="006D72AC">
        <w:rPr>
          <w:rFonts w:cstheme="minorHAnsi"/>
          <w:b/>
          <w:bCs/>
          <w:lang w:val="en-US"/>
        </w:rPr>
        <w:t xml:space="preserve">or </w:t>
      </w:r>
      <w:r w:rsidRPr="006D72AC">
        <w:rPr>
          <w:rFonts w:cstheme="minorHAnsi"/>
          <w:lang w:val="en-US"/>
        </w:rPr>
        <w:t xml:space="preserve">According to Liu </w:t>
      </w:r>
      <w:r w:rsidRPr="006D72AC">
        <w:rPr>
          <w:rFonts w:cstheme="minorHAnsi"/>
          <w:i/>
          <w:iCs/>
          <w:lang w:val="en-US"/>
        </w:rPr>
        <w:t xml:space="preserve">et al. </w:t>
      </w:r>
      <w:r w:rsidRPr="006D72AC">
        <w:rPr>
          <w:rFonts w:cstheme="minorHAnsi"/>
          <w:lang w:val="en-US"/>
        </w:rPr>
        <w:t xml:space="preserve">(2012)… </w:t>
      </w:r>
    </w:p>
    <w:p w14:paraId="22D57D15" w14:textId="77777777" w:rsidR="006D72AC" w:rsidRPr="006D72AC" w:rsidRDefault="006D72AC" w:rsidP="006D72AC">
      <w:pPr>
        <w:autoSpaceDE w:val="0"/>
        <w:adjustRightInd w:val="0"/>
        <w:spacing w:after="0" w:line="240" w:lineRule="auto"/>
        <w:jc w:val="both"/>
        <w:rPr>
          <w:rFonts w:cstheme="minorHAnsi"/>
          <w:lang w:val="en-US"/>
        </w:rPr>
      </w:pPr>
    </w:p>
    <w:p w14:paraId="732C51C3" w14:textId="17DAC633"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Tsortanidis, C. (2011). </w:t>
      </w:r>
      <w:r w:rsidRPr="00CA35DD">
        <w:rPr>
          <w:rFonts w:cstheme="minorHAnsi"/>
        </w:rPr>
        <w:t>Διοίκηση</w:t>
      </w:r>
      <w:r w:rsidRPr="006D72AC">
        <w:rPr>
          <w:rFonts w:cstheme="minorHAnsi"/>
          <w:lang w:val="en-US"/>
        </w:rPr>
        <w:t xml:space="preserve"> </w:t>
      </w:r>
      <w:r w:rsidRPr="00CA35DD">
        <w:rPr>
          <w:rFonts w:cstheme="minorHAnsi"/>
        </w:rPr>
        <w:t>παραγωγικών</w:t>
      </w:r>
      <w:r w:rsidRPr="006D72AC">
        <w:rPr>
          <w:rFonts w:cstheme="minorHAnsi"/>
          <w:lang w:val="en-US"/>
        </w:rPr>
        <w:t xml:space="preserve"> </w:t>
      </w:r>
      <w:r w:rsidRPr="00CA35DD">
        <w:rPr>
          <w:rFonts w:cstheme="minorHAnsi"/>
        </w:rPr>
        <w:t>λειτουργιών</w:t>
      </w:r>
      <w:r w:rsidRPr="006D72AC">
        <w:rPr>
          <w:rFonts w:cstheme="minorHAnsi"/>
          <w:lang w:val="en-US"/>
        </w:rPr>
        <w:t xml:space="preserve"> </w:t>
      </w:r>
      <w:r w:rsidRPr="00CA35DD">
        <w:rPr>
          <w:rFonts w:cstheme="minorHAnsi"/>
        </w:rPr>
        <w:t>σε</w:t>
      </w:r>
      <w:r w:rsidRPr="006D72AC">
        <w:rPr>
          <w:rFonts w:cstheme="minorHAnsi"/>
          <w:lang w:val="en-US"/>
        </w:rPr>
        <w:t xml:space="preserve"> </w:t>
      </w:r>
      <w:r w:rsidRPr="00CA35DD">
        <w:rPr>
          <w:rFonts w:cstheme="minorHAnsi"/>
        </w:rPr>
        <w:t>περίοδο</w:t>
      </w:r>
      <w:r w:rsidRPr="006D72AC">
        <w:rPr>
          <w:rFonts w:cstheme="minorHAnsi"/>
          <w:lang w:val="en-US"/>
        </w:rPr>
        <w:t xml:space="preserve"> </w:t>
      </w:r>
      <w:r w:rsidRPr="00CA35DD">
        <w:rPr>
          <w:rFonts w:cstheme="minorHAnsi"/>
        </w:rPr>
        <w:t>κρίσης</w:t>
      </w:r>
      <w:r w:rsidRPr="006D72AC">
        <w:rPr>
          <w:rFonts w:cstheme="minorHAnsi"/>
          <w:lang w:val="en-US"/>
        </w:rPr>
        <w:t xml:space="preserve"> [Production management during periods of economic crisis]. </w:t>
      </w:r>
      <w:r w:rsidRPr="006D72AC">
        <w:rPr>
          <w:rFonts w:cstheme="minorHAnsi"/>
          <w:i/>
          <w:iCs/>
          <w:lang w:val="en-US"/>
        </w:rPr>
        <w:t>Plant Management</w:t>
      </w:r>
      <w:r w:rsidRPr="006D72AC">
        <w:rPr>
          <w:rFonts w:cstheme="minorHAnsi"/>
          <w:lang w:val="en-US"/>
        </w:rPr>
        <w:t xml:space="preserve">, 213, pp. 34-37. </w:t>
      </w:r>
    </w:p>
    <w:p w14:paraId="06499C75"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Citation: …(Tsortanidis, 2011) </w:t>
      </w:r>
      <w:r w:rsidRPr="006D72AC">
        <w:rPr>
          <w:rFonts w:cstheme="minorHAnsi"/>
          <w:b/>
          <w:bCs/>
          <w:lang w:val="en-US"/>
        </w:rPr>
        <w:t xml:space="preserve">or </w:t>
      </w:r>
      <w:r w:rsidRPr="006D72AC">
        <w:rPr>
          <w:rFonts w:cstheme="minorHAnsi"/>
          <w:lang w:val="en-US"/>
        </w:rPr>
        <w:t xml:space="preserve">According to Tsortanidis (2011)… </w:t>
      </w:r>
    </w:p>
    <w:p w14:paraId="5103D64C" w14:textId="77777777" w:rsidR="006D72AC" w:rsidRPr="006D72AC" w:rsidRDefault="006D72AC" w:rsidP="006D72AC">
      <w:pPr>
        <w:autoSpaceDE w:val="0"/>
        <w:adjustRightInd w:val="0"/>
        <w:spacing w:after="0" w:line="240" w:lineRule="auto"/>
        <w:jc w:val="both"/>
        <w:rPr>
          <w:rFonts w:cstheme="minorHAnsi"/>
          <w:lang w:val="en-US"/>
        </w:rPr>
      </w:pPr>
    </w:p>
    <w:p w14:paraId="35E750FC" w14:textId="77777777" w:rsidR="00954F47" w:rsidRDefault="006D72AC" w:rsidP="00954F47">
      <w:pPr>
        <w:autoSpaceDE w:val="0"/>
        <w:adjustRightInd w:val="0"/>
        <w:spacing w:after="0" w:line="240" w:lineRule="auto"/>
        <w:jc w:val="both"/>
        <w:rPr>
          <w:rFonts w:cstheme="minorHAnsi"/>
          <w:lang w:val="en-US"/>
        </w:rPr>
      </w:pPr>
      <w:r w:rsidRPr="006D72AC">
        <w:rPr>
          <w:rFonts w:cstheme="minorHAnsi"/>
          <w:lang w:val="en-US"/>
        </w:rPr>
        <w:t xml:space="preserve">Vachon, S. and Klassen, R.D. (2006a). Extending green practices across the supply chain: The impact of upstream and downstream integration. </w:t>
      </w:r>
      <w:r w:rsidRPr="006D72AC">
        <w:rPr>
          <w:rFonts w:cstheme="minorHAnsi"/>
          <w:i/>
          <w:iCs/>
          <w:lang w:val="en-US"/>
        </w:rPr>
        <w:t>International Journal of Operations &amp; Production Management</w:t>
      </w:r>
      <w:r w:rsidRPr="006D72AC">
        <w:rPr>
          <w:rFonts w:cstheme="minorHAnsi"/>
          <w:lang w:val="en-US"/>
        </w:rPr>
        <w:t xml:space="preserve">, 26(7), pp. 795-821. </w:t>
      </w:r>
    </w:p>
    <w:p w14:paraId="268561C1" w14:textId="476CD9AB" w:rsidR="006D72AC" w:rsidRPr="006D72AC" w:rsidRDefault="006D72AC" w:rsidP="00954F47">
      <w:pPr>
        <w:autoSpaceDE w:val="0"/>
        <w:adjustRightInd w:val="0"/>
        <w:spacing w:after="0" w:line="240" w:lineRule="auto"/>
        <w:jc w:val="both"/>
        <w:rPr>
          <w:rFonts w:cstheme="minorHAnsi"/>
          <w:lang w:val="en-US"/>
        </w:rPr>
      </w:pPr>
      <w:r w:rsidRPr="006D72AC">
        <w:rPr>
          <w:rFonts w:cstheme="minorHAnsi"/>
          <w:lang w:val="en-US"/>
        </w:rPr>
        <w:t xml:space="preserve">Citation: …(Vachon and Klassen, 2006a) </w:t>
      </w:r>
      <w:r w:rsidRPr="006D72AC">
        <w:rPr>
          <w:rFonts w:cstheme="minorHAnsi"/>
          <w:b/>
          <w:bCs/>
          <w:lang w:val="en-US"/>
        </w:rPr>
        <w:t xml:space="preserve">or </w:t>
      </w:r>
      <w:r w:rsidRPr="006D72AC">
        <w:rPr>
          <w:rFonts w:cstheme="minorHAnsi"/>
          <w:lang w:val="en-US"/>
        </w:rPr>
        <w:t xml:space="preserve">According to Vachon and Klassen (2006a)… </w:t>
      </w:r>
    </w:p>
    <w:p w14:paraId="6603EBA6" w14:textId="77777777" w:rsidR="006D72AC" w:rsidRPr="006D72AC" w:rsidRDefault="006D72AC" w:rsidP="006D72AC">
      <w:pPr>
        <w:autoSpaceDE w:val="0"/>
        <w:adjustRightInd w:val="0"/>
        <w:spacing w:after="0" w:line="240" w:lineRule="auto"/>
        <w:jc w:val="both"/>
        <w:rPr>
          <w:rFonts w:cstheme="minorHAnsi"/>
          <w:lang w:val="en-US"/>
        </w:rPr>
      </w:pPr>
    </w:p>
    <w:p w14:paraId="3F742488" w14:textId="4FA7767F" w:rsidR="006D72AC" w:rsidRPr="004F3138"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Vachon, S. and Klassen, R.D. (2006b). Green project partnership in the supply chain: the case of the package printing industry. </w:t>
      </w:r>
      <w:r w:rsidRPr="004F3138">
        <w:rPr>
          <w:rFonts w:cstheme="minorHAnsi"/>
          <w:i/>
          <w:iCs/>
          <w:lang w:val="en-US"/>
        </w:rPr>
        <w:t>Journal of Cleaner Production</w:t>
      </w:r>
      <w:r w:rsidRPr="004F3138">
        <w:rPr>
          <w:rFonts w:cstheme="minorHAnsi"/>
          <w:lang w:val="en-US"/>
        </w:rPr>
        <w:t xml:space="preserve">, 14(6–7), pp. 661-671. </w:t>
      </w:r>
    </w:p>
    <w:p w14:paraId="65AA5E74"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…(Vachon and Klassen, 2006b) </w:t>
      </w:r>
      <w:r w:rsidRPr="004F3138">
        <w:rPr>
          <w:rFonts w:cstheme="minorHAnsi"/>
          <w:b/>
          <w:bCs/>
          <w:lang w:val="en-US"/>
        </w:rPr>
        <w:t xml:space="preserve">or </w:t>
      </w:r>
      <w:r w:rsidRPr="004F3138">
        <w:rPr>
          <w:rFonts w:cstheme="minorHAnsi"/>
          <w:lang w:val="en-US"/>
        </w:rPr>
        <w:t xml:space="preserve">According to Vachon and Klassen (2006b)… </w:t>
      </w:r>
    </w:p>
    <w:p w14:paraId="53F67B4E" w14:textId="77777777" w:rsidR="006D72AC" w:rsidRPr="004F3138" w:rsidRDefault="006D72AC" w:rsidP="006D72AC">
      <w:pPr>
        <w:autoSpaceDE w:val="0"/>
        <w:adjustRightInd w:val="0"/>
        <w:spacing w:after="0" w:line="240" w:lineRule="auto"/>
        <w:jc w:val="both"/>
        <w:rPr>
          <w:rFonts w:cstheme="minorHAnsi"/>
          <w:b/>
          <w:bCs/>
          <w:i/>
          <w:iCs/>
          <w:lang w:val="en-US"/>
        </w:rPr>
      </w:pPr>
    </w:p>
    <w:p w14:paraId="31E54025"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b/>
          <w:bCs/>
          <w:i/>
          <w:iCs/>
          <w:lang w:val="en-US"/>
        </w:rPr>
        <w:t xml:space="preserve">For books: </w:t>
      </w:r>
    </w:p>
    <w:p w14:paraId="42DA98FE" w14:textId="4E7539AD"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Brealey, R., Myers, S. and Allen, F. (2006). </w:t>
      </w:r>
      <w:r w:rsidRPr="004F3138">
        <w:rPr>
          <w:rFonts w:cstheme="minorHAnsi"/>
          <w:i/>
          <w:iCs/>
          <w:lang w:val="en-US"/>
        </w:rPr>
        <w:t>Principles of corporate finance</w:t>
      </w:r>
      <w:r w:rsidRPr="004F3138">
        <w:rPr>
          <w:rFonts w:cstheme="minorHAnsi"/>
          <w:lang w:val="en-US"/>
        </w:rPr>
        <w:t xml:space="preserve">. 9th edn. New York, NY: McGraw-Hill/Irwin. </w:t>
      </w:r>
    </w:p>
    <w:p w14:paraId="572C2209"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…(Brealey and Myers, 2006) </w:t>
      </w:r>
      <w:r w:rsidRPr="004F3138">
        <w:rPr>
          <w:rFonts w:cstheme="minorHAnsi"/>
          <w:b/>
          <w:bCs/>
          <w:lang w:val="en-US"/>
        </w:rPr>
        <w:t xml:space="preserve">or </w:t>
      </w:r>
      <w:r w:rsidRPr="004F3138">
        <w:rPr>
          <w:rFonts w:cstheme="minorHAnsi"/>
          <w:lang w:val="en-US"/>
        </w:rPr>
        <w:t xml:space="preserve">According to Brealey and Myers (2006)… </w:t>
      </w:r>
    </w:p>
    <w:p w14:paraId="5322A456" w14:textId="77777777" w:rsidR="006D72AC" w:rsidRPr="004F3138" w:rsidRDefault="006D72AC" w:rsidP="006D72AC">
      <w:pPr>
        <w:autoSpaceDE w:val="0"/>
        <w:adjustRightInd w:val="0"/>
        <w:spacing w:after="0" w:line="240" w:lineRule="auto"/>
        <w:jc w:val="both"/>
        <w:rPr>
          <w:rFonts w:cstheme="minorHAnsi"/>
          <w:lang w:val="en-US"/>
        </w:rPr>
      </w:pPr>
    </w:p>
    <w:p w14:paraId="730754C0" w14:textId="680D12F0"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Schlicht, J. (2012). </w:t>
      </w:r>
      <w:r w:rsidRPr="004F3138">
        <w:rPr>
          <w:rFonts w:cstheme="minorHAnsi"/>
          <w:i/>
          <w:iCs/>
          <w:lang w:val="en-US"/>
        </w:rPr>
        <w:t>Kosten-Nutzen-Analyse von beruflicher Weiterbildung [Cost-Benefit Analysis of Vocational Training]</w:t>
      </w:r>
      <w:r w:rsidRPr="004F3138">
        <w:rPr>
          <w:rFonts w:cstheme="minorHAnsi"/>
          <w:lang w:val="en-US"/>
        </w:rPr>
        <w:t xml:space="preserve">. Berlin: Springer. </w:t>
      </w:r>
    </w:p>
    <w:p w14:paraId="7B4B3DF6"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…(Schlicht, 2012) </w:t>
      </w:r>
      <w:r w:rsidRPr="004F3138">
        <w:rPr>
          <w:rFonts w:cstheme="minorHAnsi"/>
          <w:b/>
          <w:bCs/>
          <w:lang w:val="en-US"/>
        </w:rPr>
        <w:t xml:space="preserve">or </w:t>
      </w:r>
      <w:r w:rsidRPr="004F3138">
        <w:rPr>
          <w:rFonts w:cstheme="minorHAnsi"/>
          <w:lang w:val="en-US"/>
        </w:rPr>
        <w:t xml:space="preserve">According to Schlicht (2012)… </w:t>
      </w:r>
    </w:p>
    <w:p w14:paraId="1094FC15" w14:textId="77777777" w:rsidR="006D72AC" w:rsidRPr="004F3138" w:rsidRDefault="006D72AC" w:rsidP="006D72AC">
      <w:pPr>
        <w:autoSpaceDE w:val="0"/>
        <w:adjustRightInd w:val="0"/>
        <w:spacing w:after="0" w:line="240" w:lineRule="auto"/>
        <w:jc w:val="both"/>
        <w:rPr>
          <w:rFonts w:cstheme="minorHAnsi"/>
          <w:b/>
          <w:bCs/>
          <w:i/>
          <w:iCs/>
          <w:lang w:val="en-US"/>
        </w:rPr>
      </w:pPr>
    </w:p>
    <w:p w14:paraId="3E9772E4"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b/>
          <w:bCs/>
          <w:i/>
          <w:iCs/>
          <w:lang w:val="en-US"/>
        </w:rPr>
        <w:t xml:space="preserve">For book chapters (in edited volumes): </w:t>
      </w:r>
    </w:p>
    <w:p w14:paraId="531F76AF" w14:textId="41BEDCD2"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Decker, S. and Sale, C. (2010). An Analysis of Corporate Social Responsibility, Trust and Reputation in the Banking Profession. In: Idowu, S.O and Leal Filho, W. (eds.), </w:t>
      </w:r>
      <w:r w:rsidRPr="004F3138">
        <w:rPr>
          <w:rFonts w:cstheme="minorHAnsi"/>
          <w:i/>
          <w:iCs/>
          <w:lang w:val="en-US"/>
        </w:rPr>
        <w:t xml:space="preserve">Professionals’ Perspectives of Corporate Social Responsibility. </w:t>
      </w:r>
      <w:r w:rsidRPr="004F3138">
        <w:rPr>
          <w:rFonts w:cstheme="minorHAnsi"/>
          <w:lang w:val="en-US"/>
        </w:rPr>
        <w:t xml:space="preserve">Berlin: Springer, pp. 135-156, </w:t>
      </w:r>
    </w:p>
    <w:p w14:paraId="7918F9F4"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…(Decker and Sale, 2010) </w:t>
      </w:r>
      <w:r w:rsidRPr="004F3138">
        <w:rPr>
          <w:rFonts w:cstheme="minorHAnsi"/>
          <w:b/>
          <w:bCs/>
          <w:lang w:val="en-US"/>
        </w:rPr>
        <w:t xml:space="preserve">or </w:t>
      </w:r>
      <w:r w:rsidRPr="004F3138">
        <w:rPr>
          <w:rFonts w:cstheme="minorHAnsi"/>
          <w:lang w:val="en-US"/>
        </w:rPr>
        <w:t xml:space="preserve">According to Decker and Sale (2010)… </w:t>
      </w:r>
    </w:p>
    <w:p w14:paraId="4E39F270" w14:textId="77777777" w:rsidR="006D72AC" w:rsidRPr="004F3138" w:rsidRDefault="006D72AC" w:rsidP="006D72AC">
      <w:pPr>
        <w:autoSpaceDE w:val="0"/>
        <w:adjustRightInd w:val="0"/>
        <w:spacing w:after="0" w:line="240" w:lineRule="auto"/>
        <w:jc w:val="both"/>
        <w:rPr>
          <w:rFonts w:cstheme="minorHAnsi"/>
          <w:b/>
          <w:bCs/>
          <w:i/>
          <w:iCs/>
          <w:lang w:val="en-US"/>
        </w:rPr>
      </w:pPr>
    </w:p>
    <w:p w14:paraId="201682A3"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b/>
          <w:bCs/>
          <w:i/>
          <w:iCs/>
          <w:lang w:val="en-US"/>
        </w:rPr>
        <w:t xml:space="preserve">For papers in conference proceedings: </w:t>
      </w:r>
    </w:p>
    <w:p w14:paraId="1A9E79CA" w14:textId="77777777" w:rsidR="006D72AC" w:rsidRPr="004F3138" w:rsidRDefault="006D72AC" w:rsidP="006D72AC">
      <w:pPr>
        <w:autoSpaceDE w:val="0"/>
        <w:adjustRightInd w:val="0"/>
        <w:spacing w:after="0" w:line="240" w:lineRule="auto"/>
        <w:jc w:val="both"/>
        <w:rPr>
          <w:rFonts w:cstheme="minorHAnsi"/>
          <w:lang w:val="en-US"/>
        </w:rPr>
      </w:pPr>
      <w:r w:rsidRPr="00CA35DD">
        <w:rPr>
          <w:rFonts w:cstheme="minorHAnsi"/>
        </w:rPr>
        <w:t></w:t>
      </w:r>
      <w:r w:rsidRPr="004F3138">
        <w:rPr>
          <w:rFonts w:cstheme="minorHAnsi"/>
          <w:lang w:val="en-US"/>
        </w:rPr>
        <w:t xml:space="preserve"> Moussiopoulos, N., Koroneos, C., Achillas, H., Bouzakis, K.-D., Michailidis, N., Iakovou, E., Xanthopoulos, A. and Chatzipanagioti, M. (2006). Decision-Making on the Alternatives for the End-of-Life Management of Electrical and Electronic Equipment. In: </w:t>
      </w:r>
      <w:r w:rsidRPr="004F3138">
        <w:rPr>
          <w:rFonts w:cstheme="minorHAnsi"/>
          <w:i/>
          <w:iCs/>
          <w:lang w:val="en-US"/>
        </w:rPr>
        <w:t>Proceedings of the 6th International Symposium Going Green CARE INNOVATION 2006</w:t>
      </w:r>
      <w:r w:rsidRPr="004F3138">
        <w:rPr>
          <w:rFonts w:cstheme="minorHAnsi"/>
          <w:lang w:val="en-US"/>
        </w:rPr>
        <w:t xml:space="preserve">. November 13-16, 2006, Vienna, Austria. </w:t>
      </w:r>
    </w:p>
    <w:p w14:paraId="4CB2F44D" w14:textId="77777777" w:rsidR="006D72AC" w:rsidRPr="00981022"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 Moussiopoulos </w:t>
      </w:r>
      <w:r w:rsidRPr="004F3138">
        <w:rPr>
          <w:rFonts w:cstheme="minorHAnsi"/>
          <w:i/>
          <w:iCs/>
          <w:lang w:val="en-US"/>
        </w:rPr>
        <w:t>et al.</w:t>
      </w:r>
      <w:r w:rsidRPr="004F3138">
        <w:rPr>
          <w:rFonts w:cstheme="minorHAnsi"/>
          <w:lang w:val="en-US"/>
        </w:rPr>
        <w:t xml:space="preserve">, 2006) </w:t>
      </w:r>
      <w:r w:rsidRPr="004F3138">
        <w:rPr>
          <w:rFonts w:cstheme="minorHAnsi"/>
          <w:b/>
          <w:bCs/>
          <w:lang w:val="en-US"/>
        </w:rPr>
        <w:t xml:space="preserve">or </w:t>
      </w:r>
      <w:r w:rsidRPr="004F3138">
        <w:rPr>
          <w:rFonts w:cstheme="minorHAnsi"/>
          <w:lang w:val="en-US"/>
        </w:rPr>
        <w:t xml:space="preserve">According to Moussiopoulos </w:t>
      </w:r>
      <w:r w:rsidRPr="004F3138">
        <w:rPr>
          <w:rFonts w:cstheme="minorHAnsi"/>
          <w:i/>
          <w:iCs/>
          <w:lang w:val="en-US"/>
        </w:rPr>
        <w:t xml:space="preserve">et al. </w:t>
      </w:r>
      <w:r w:rsidRPr="00981022">
        <w:rPr>
          <w:rFonts w:cstheme="minorHAnsi"/>
          <w:lang w:val="en-US"/>
        </w:rPr>
        <w:t xml:space="preserve">(2006)… </w:t>
      </w:r>
    </w:p>
    <w:p w14:paraId="0853177A" w14:textId="77777777" w:rsidR="006D72AC" w:rsidRPr="00981022" w:rsidRDefault="006D72AC" w:rsidP="006D72AC">
      <w:pPr>
        <w:autoSpaceDE w:val="0"/>
        <w:adjustRightInd w:val="0"/>
        <w:spacing w:after="0" w:line="240" w:lineRule="auto"/>
        <w:jc w:val="both"/>
        <w:rPr>
          <w:rFonts w:cstheme="minorHAnsi"/>
          <w:b/>
          <w:bCs/>
          <w:i/>
          <w:iCs/>
          <w:lang w:val="en-US"/>
        </w:rPr>
      </w:pPr>
    </w:p>
    <w:p w14:paraId="76B84D34"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b/>
          <w:bCs/>
          <w:i/>
          <w:iCs/>
          <w:lang w:val="en-US"/>
        </w:rPr>
        <w:t xml:space="preserve">For Master/PhD Theses: </w:t>
      </w:r>
    </w:p>
    <w:p w14:paraId="1776B256" w14:textId="6D7AA5FC"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lastRenderedPageBreak/>
        <w:t xml:space="preserve">Torabkhani, A. (2008). </w:t>
      </w:r>
      <w:r w:rsidRPr="00981022">
        <w:rPr>
          <w:rFonts w:cstheme="minorHAnsi"/>
          <w:i/>
          <w:iCs/>
          <w:lang w:val="en-US"/>
        </w:rPr>
        <w:t xml:space="preserve">A Monte Carlo Factorial Design Approach for Assessing Environmentally Responsible Manufacturing Cost-Benefit Tradeoffs. </w:t>
      </w:r>
      <w:r w:rsidRPr="004F3138">
        <w:rPr>
          <w:rFonts w:cstheme="minorHAnsi"/>
          <w:lang w:val="en-US"/>
        </w:rPr>
        <w:t xml:space="preserve">Master Thesis, Northeastern University, Department of Mechanical and Industrial Engineering, Boston, MA, USA. </w:t>
      </w:r>
    </w:p>
    <w:p w14:paraId="3FA45D31"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…(Torabkhani, 2008) </w:t>
      </w:r>
      <w:r w:rsidRPr="004F3138">
        <w:rPr>
          <w:rFonts w:cstheme="minorHAnsi"/>
          <w:b/>
          <w:bCs/>
          <w:lang w:val="en-US"/>
        </w:rPr>
        <w:t xml:space="preserve">or </w:t>
      </w:r>
      <w:r w:rsidRPr="004F3138">
        <w:rPr>
          <w:rFonts w:cstheme="minorHAnsi"/>
          <w:lang w:val="en-US"/>
        </w:rPr>
        <w:t xml:space="preserve">According to Torabkhani (2008)… </w:t>
      </w:r>
    </w:p>
    <w:p w14:paraId="1F97F360" w14:textId="77777777" w:rsidR="006D72AC" w:rsidRPr="004F3138" w:rsidRDefault="006D72AC" w:rsidP="006D72AC">
      <w:pPr>
        <w:autoSpaceDE w:val="0"/>
        <w:adjustRightInd w:val="0"/>
        <w:spacing w:after="0" w:line="240" w:lineRule="auto"/>
        <w:jc w:val="both"/>
        <w:rPr>
          <w:rFonts w:cstheme="minorHAnsi"/>
          <w:lang w:val="en-US"/>
        </w:rPr>
      </w:pPr>
    </w:p>
    <w:p w14:paraId="236063CC" w14:textId="435CFFD2"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Dong, Q. (2011). </w:t>
      </w:r>
      <w:r w:rsidRPr="004F3138">
        <w:rPr>
          <w:rFonts w:cstheme="minorHAnsi"/>
          <w:i/>
          <w:iCs/>
          <w:lang w:val="en-US"/>
        </w:rPr>
        <w:t xml:space="preserve">Research on MNCs' Supply Chain Implementation in China. Contents, problems and Recommendations. </w:t>
      </w:r>
      <w:r w:rsidRPr="004F3138">
        <w:rPr>
          <w:rFonts w:cstheme="minorHAnsi"/>
          <w:lang w:val="en-US"/>
        </w:rPr>
        <w:t xml:space="preserve">PhD Thesis, Université de Grenoble, Grenoble, France. </w:t>
      </w:r>
    </w:p>
    <w:p w14:paraId="43E14C3F"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…(Dong, 2011) </w:t>
      </w:r>
      <w:r w:rsidRPr="004F3138">
        <w:rPr>
          <w:rFonts w:cstheme="minorHAnsi"/>
          <w:b/>
          <w:bCs/>
          <w:lang w:val="en-US"/>
        </w:rPr>
        <w:t xml:space="preserve">or </w:t>
      </w:r>
      <w:r w:rsidRPr="004F3138">
        <w:rPr>
          <w:rFonts w:cstheme="minorHAnsi"/>
          <w:lang w:val="en-US"/>
        </w:rPr>
        <w:t xml:space="preserve">According to Dong (2011)… </w:t>
      </w:r>
    </w:p>
    <w:p w14:paraId="3536DD23" w14:textId="77777777" w:rsidR="006D72AC" w:rsidRPr="004F3138" w:rsidRDefault="006D72AC" w:rsidP="006D72AC">
      <w:pPr>
        <w:autoSpaceDE w:val="0"/>
        <w:adjustRightInd w:val="0"/>
        <w:spacing w:after="0" w:line="240" w:lineRule="auto"/>
        <w:jc w:val="both"/>
        <w:rPr>
          <w:rFonts w:cstheme="minorHAnsi"/>
          <w:b/>
          <w:bCs/>
          <w:i/>
          <w:iCs/>
          <w:lang w:val="en-US"/>
        </w:rPr>
      </w:pPr>
    </w:p>
    <w:p w14:paraId="14CE4FCC"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b/>
          <w:bCs/>
          <w:i/>
          <w:iCs/>
          <w:lang w:val="en-US"/>
        </w:rPr>
        <w:t xml:space="preserve">When the information is publicly available on the web: </w:t>
      </w:r>
    </w:p>
    <w:p w14:paraId="49D814E8" w14:textId="628602BC"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Philips, M. (2015). </w:t>
      </w:r>
      <w:r w:rsidRPr="004F3138">
        <w:rPr>
          <w:rFonts w:cstheme="minorHAnsi"/>
          <w:i/>
          <w:iCs/>
          <w:lang w:val="en-US"/>
        </w:rPr>
        <w:t>The Economy Gets a Boost From Government</w:t>
      </w:r>
      <w:r w:rsidRPr="004F3138">
        <w:rPr>
          <w:rFonts w:cstheme="minorHAnsi"/>
          <w:lang w:val="en-US"/>
        </w:rPr>
        <w:t xml:space="preserve">. Available at: http://www.bloomberg.com/news/articles/2015-10-08/u-s-economy-gets-a-boost-from-government [Accessed 2 November 2015]. </w:t>
      </w:r>
    </w:p>
    <w:p w14:paraId="01A6F348" w14:textId="77777777" w:rsidR="006D72AC" w:rsidRPr="004F3138" w:rsidRDefault="006D72AC" w:rsidP="006D72AC">
      <w:pPr>
        <w:autoSpaceDE w:val="0"/>
        <w:adjustRightInd w:val="0"/>
        <w:spacing w:after="0" w:line="240" w:lineRule="auto"/>
        <w:jc w:val="both"/>
        <w:rPr>
          <w:rFonts w:cstheme="minorHAnsi"/>
          <w:lang w:val="en-US"/>
        </w:rPr>
      </w:pPr>
      <w:r w:rsidRPr="004F3138">
        <w:rPr>
          <w:rFonts w:cstheme="minorHAnsi"/>
          <w:lang w:val="en-US"/>
        </w:rPr>
        <w:t xml:space="preserve">Citation: …(Philips, 2015) </w:t>
      </w:r>
      <w:r w:rsidRPr="004F3138">
        <w:rPr>
          <w:rFonts w:cstheme="minorHAnsi"/>
          <w:b/>
          <w:bCs/>
          <w:lang w:val="en-US"/>
        </w:rPr>
        <w:t xml:space="preserve">or </w:t>
      </w:r>
      <w:r w:rsidRPr="004F3138">
        <w:rPr>
          <w:rFonts w:cstheme="minorHAnsi"/>
          <w:lang w:val="en-US"/>
        </w:rPr>
        <w:t xml:space="preserve">According to Philips (2015)… </w:t>
      </w:r>
    </w:p>
    <w:p w14:paraId="7CCFD351" w14:textId="77777777" w:rsidR="006D72AC" w:rsidRPr="004F3138" w:rsidRDefault="006D72AC" w:rsidP="006D72AC">
      <w:pPr>
        <w:autoSpaceDE w:val="0"/>
        <w:adjustRightInd w:val="0"/>
        <w:spacing w:after="0" w:line="240" w:lineRule="auto"/>
        <w:jc w:val="both"/>
        <w:rPr>
          <w:rFonts w:cstheme="minorHAnsi"/>
          <w:lang w:val="en-US"/>
        </w:rPr>
      </w:pPr>
    </w:p>
    <w:p w14:paraId="4BEAB32D" w14:textId="2B8D11F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European Commission (2012). </w:t>
      </w:r>
      <w:r w:rsidRPr="006D72AC">
        <w:rPr>
          <w:rFonts w:cstheme="minorHAnsi"/>
          <w:i/>
          <w:iCs/>
          <w:lang w:val="en-US"/>
        </w:rPr>
        <w:t>Year at a glance - PROGRESS in 2011</w:t>
      </w:r>
      <w:r w:rsidRPr="006D72AC">
        <w:rPr>
          <w:rFonts w:cstheme="minorHAnsi"/>
          <w:lang w:val="en-US"/>
        </w:rPr>
        <w:t xml:space="preserve">. Available at: http://ec.europa.eu/social/BlobServlet?docId=7854&amp;langId=en [Accessed 4 September 2012]. </w:t>
      </w:r>
    </w:p>
    <w:p w14:paraId="05E8A82F"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Citation: …(European Commission, 2012) </w:t>
      </w:r>
      <w:r w:rsidRPr="006D72AC">
        <w:rPr>
          <w:rFonts w:cstheme="minorHAnsi"/>
          <w:b/>
          <w:bCs/>
          <w:lang w:val="en-US"/>
        </w:rPr>
        <w:t xml:space="preserve">or </w:t>
      </w:r>
      <w:r w:rsidRPr="006D72AC">
        <w:rPr>
          <w:rFonts w:cstheme="minorHAnsi"/>
          <w:lang w:val="en-US"/>
        </w:rPr>
        <w:t xml:space="preserve">According to the European Commission (2012)… </w:t>
      </w:r>
    </w:p>
    <w:p w14:paraId="4988B697" w14:textId="77777777" w:rsidR="006D72AC" w:rsidRPr="006D72AC" w:rsidRDefault="006D72AC" w:rsidP="006D72AC">
      <w:pPr>
        <w:autoSpaceDE w:val="0"/>
        <w:adjustRightInd w:val="0"/>
        <w:spacing w:after="0" w:line="240" w:lineRule="auto"/>
        <w:jc w:val="both"/>
        <w:rPr>
          <w:rFonts w:cstheme="minorHAnsi"/>
          <w:lang w:val="en-US"/>
        </w:rPr>
      </w:pPr>
    </w:p>
    <w:p w14:paraId="1CD19C72" w14:textId="208C7029"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Wikipedia (2012). </w:t>
      </w:r>
      <w:r w:rsidRPr="006D72AC">
        <w:rPr>
          <w:rFonts w:cstheme="minorHAnsi"/>
          <w:i/>
          <w:iCs/>
          <w:lang w:val="en-US"/>
        </w:rPr>
        <w:t xml:space="preserve">Leadership. </w:t>
      </w:r>
      <w:r w:rsidRPr="006D72AC">
        <w:rPr>
          <w:rFonts w:cstheme="minorHAnsi"/>
          <w:lang w:val="en-US"/>
        </w:rPr>
        <w:t xml:space="preserve">Available at: http://en.wikipedia.org/wiki/Leadership [Accessed 25 August 2012]. </w:t>
      </w:r>
    </w:p>
    <w:p w14:paraId="306B6FDF" w14:textId="77777777" w:rsidR="006D72AC" w:rsidRPr="006D72AC" w:rsidRDefault="006D72AC" w:rsidP="006D72AC">
      <w:pPr>
        <w:autoSpaceDE w:val="0"/>
        <w:adjustRightInd w:val="0"/>
        <w:spacing w:after="0" w:line="240" w:lineRule="auto"/>
        <w:jc w:val="both"/>
        <w:rPr>
          <w:rFonts w:cstheme="minorHAnsi"/>
          <w:lang w:val="en-US"/>
        </w:rPr>
      </w:pPr>
      <w:r w:rsidRPr="006D72AC">
        <w:rPr>
          <w:rFonts w:cstheme="minorHAnsi"/>
          <w:lang w:val="en-US"/>
        </w:rPr>
        <w:t xml:space="preserve">Citation: …(Wikipedia, 2012) </w:t>
      </w:r>
      <w:r w:rsidRPr="006D72AC">
        <w:rPr>
          <w:rFonts w:cstheme="minorHAnsi"/>
          <w:b/>
          <w:bCs/>
          <w:lang w:val="en-US"/>
        </w:rPr>
        <w:t xml:space="preserve">or </w:t>
      </w:r>
      <w:r w:rsidRPr="006D72AC">
        <w:rPr>
          <w:rFonts w:cstheme="minorHAnsi"/>
          <w:lang w:val="en-US"/>
        </w:rPr>
        <w:t xml:space="preserve">According to Wikipedia (2012)… </w:t>
      </w:r>
    </w:p>
    <w:p w14:paraId="24AF892B" w14:textId="77777777" w:rsidR="006D72AC" w:rsidRPr="006D72AC" w:rsidRDefault="006D72AC" w:rsidP="006D72AC">
      <w:pPr>
        <w:autoSpaceDE w:val="0"/>
        <w:adjustRightInd w:val="0"/>
        <w:spacing w:after="0" w:line="240" w:lineRule="auto"/>
        <w:jc w:val="both"/>
        <w:rPr>
          <w:rFonts w:cstheme="minorHAnsi"/>
          <w:b/>
          <w:bCs/>
          <w:lang w:val="en-US"/>
        </w:rPr>
      </w:pPr>
    </w:p>
    <w:p w14:paraId="7D2DF136" w14:textId="77777777" w:rsidR="006D72AC" w:rsidRPr="006D72AC" w:rsidRDefault="006D72AC" w:rsidP="006D72AC">
      <w:pPr>
        <w:autoSpaceDE w:val="0"/>
        <w:adjustRightInd w:val="0"/>
        <w:spacing w:after="0" w:line="240" w:lineRule="auto"/>
        <w:jc w:val="both"/>
        <w:rPr>
          <w:rFonts w:cstheme="minorHAnsi"/>
          <w:lang w:val="en-US"/>
        </w:rPr>
      </w:pPr>
    </w:p>
    <w:p w14:paraId="668BA677" w14:textId="77777777" w:rsidR="006D72AC" w:rsidRPr="004F3138" w:rsidRDefault="006D72AC" w:rsidP="006D72AC">
      <w:pPr>
        <w:autoSpaceDE w:val="0"/>
        <w:adjustRightInd w:val="0"/>
        <w:spacing w:after="0" w:line="240" w:lineRule="auto"/>
        <w:jc w:val="both"/>
        <w:rPr>
          <w:rFonts w:cstheme="minorHAnsi"/>
          <w:b/>
          <w:lang w:val="en-US"/>
        </w:rPr>
      </w:pPr>
      <w:r w:rsidRPr="004F3138">
        <w:rPr>
          <w:rFonts w:cstheme="minorHAnsi"/>
          <w:b/>
          <w:lang w:val="en-US"/>
        </w:rPr>
        <w:t>Plagiarism / Copying</w:t>
      </w:r>
    </w:p>
    <w:p w14:paraId="095E30E8" w14:textId="4D0D358A" w:rsidR="001D1F20" w:rsidRPr="006D72AC" w:rsidRDefault="006D72AC" w:rsidP="00954F47">
      <w:pPr>
        <w:spacing w:after="0" w:line="240" w:lineRule="auto"/>
        <w:ind w:left="142"/>
        <w:jc w:val="both"/>
        <w:rPr>
          <w:color w:val="1F3864" w:themeColor="accent1" w:themeShade="80"/>
          <w:sz w:val="24"/>
          <w:szCs w:val="24"/>
          <w:lang w:val="en-US"/>
        </w:rPr>
      </w:pPr>
      <w:r w:rsidRPr="006D72AC">
        <w:rPr>
          <w:rFonts w:cstheme="minorHAnsi"/>
          <w:lang w:val="en-US"/>
        </w:rPr>
        <w:t>It is strictly forbidden for any piece of text in the work to appear verbatim or translated from another published source. Any such act is the product of plagiarism and raises a subject of moral order for the intellectual rights of the other author. The author</w:t>
      </w:r>
      <w:r w:rsidR="00954F47">
        <w:rPr>
          <w:rFonts w:cstheme="minorHAnsi"/>
          <w:lang w:val="en-US"/>
        </w:rPr>
        <w:t>s</w:t>
      </w:r>
      <w:r w:rsidRPr="006D72AC">
        <w:rPr>
          <w:rFonts w:cstheme="minorHAnsi"/>
          <w:lang w:val="en-US"/>
        </w:rPr>
        <w:t xml:space="preserve"> of the work, who bear the responsibility for the c</w:t>
      </w:r>
      <w:r w:rsidR="00954F47">
        <w:rPr>
          <w:rFonts w:cstheme="minorHAnsi"/>
          <w:lang w:val="en-US"/>
        </w:rPr>
        <w:t>onsequences of this act, are</w:t>
      </w:r>
      <w:r w:rsidRPr="006D72AC">
        <w:rPr>
          <w:rFonts w:cstheme="minorHAnsi"/>
          <w:lang w:val="en-US"/>
        </w:rPr>
        <w:t xml:space="preserve"> solely responsible. </w:t>
      </w:r>
    </w:p>
    <w:sectPr w:rsidR="001D1F20" w:rsidRPr="006D72AC" w:rsidSect="007C755B">
      <w:pgSz w:w="11906" w:h="16838"/>
      <w:pgMar w:top="709" w:right="1134" w:bottom="141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808F" w14:textId="77777777" w:rsidR="00513E7B" w:rsidRDefault="00513E7B" w:rsidP="00DD4D4A">
      <w:pPr>
        <w:spacing w:after="0" w:line="240" w:lineRule="auto"/>
      </w:pPr>
      <w:r>
        <w:separator/>
      </w:r>
    </w:p>
  </w:endnote>
  <w:endnote w:type="continuationSeparator" w:id="0">
    <w:p w14:paraId="27B4C9EE" w14:textId="77777777" w:rsidR="00513E7B" w:rsidRDefault="00513E7B" w:rsidP="00DD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81C00" w14:textId="77777777" w:rsidR="00513E7B" w:rsidRDefault="00513E7B" w:rsidP="00DD4D4A">
      <w:pPr>
        <w:spacing w:after="0" w:line="240" w:lineRule="auto"/>
      </w:pPr>
      <w:r>
        <w:separator/>
      </w:r>
    </w:p>
  </w:footnote>
  <w:footnote w:type="continuationSeparator" w:id="0">
    <w:p w14:paraId="579ECF57" w14:textId="77777777" w:rsidR="00513E7B" w:rsidRDefault="00513E7B" w:rsidP="00DD4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0E96"/>
    <w:multiLevelType w:val="hybridMultilevel"/>
    <w:tmpl w:val="6240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1A0A"/>
    <w:multiLevelType w:val="hybridMultilevel"/>
    <w:tmpl w:val="4998AF4E"/>
    <w:lvl w:ilvl="0" w:tplc="E534B770">
      <w:numFmt w:val="bullet"/>
      <w:lvlText w:val="•"/>
      <w:lvlJc w:val="left"/>
      <w:pPr>
        <w:ind w:left="720" w:hanging="720"/>
      </w:pPr>
      <w:rPr>
        <w:rFonts w:ascii="Calibri" w:eastAsia="MS Mincho"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5E6566"/>
    <w:multiLevelType w:val="hybridMultilevel"/>
    <w:tmpl w:val="64CC57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245704A"/>
    <w:multiLevelType w:val="hybridMultilevel"/>
    <w:tmpl w:val="742C354C"/>
    <w:lvl w:ilvl="0" w:tplc="17904C40">
      <w:start w:val="1"/>
      <w:numFmt w:val="decimal"/>
      <w:lvlText w:val="%1."/>
      <w:lvlJc w:val="left"/>
      <w:pPr>
        <w:ind w:left="360" w:hanging="360"/>
      </w:pPr>
      <w:rPr>
        <w:rFonts w:hint="default"/>
        <w:b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2C80A30"/>
    <w:multiLevelType w:val="hybridMultilevel"/>
    <w:tmpl w:val="10A86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E03175"/>
    <w:multiLevelType w:val="hybridMultilevel"/>
    <w:tmpl w:val="0AE8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E6CF0"/>
    <w:multiLevelType w:val="hybridMultilevel"/>
    <w:tmpl w:val="EBF6B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57F44CA"/>
    <w:multiLevelType w:val="hybridMultilevel"/>
    <w:tmpl w:val="94AE4ED0"/>
    <w:lvl w:ilvl="0" w:tplc="F45ADE14">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CE5D91"/>
    <w:multiLevelType w:val="hybridMultilevel"/>
    <w:tmpl w:val="610220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9B4C80"/>
    <w:multiLevelType w:val="hybridMultilevel"/>
    <w:tmpl w:val="4196756C"/>
    <w:lvl w:ilvl="0" w:tplc="0408000F">
      <w:start w:val="1"/>
      <w:numFmt w:val="decimal"/>
      <w:lvlText w:val="%1."/>
      <w:lvlJc w:val="left"/>
      <w:pPr>
        <w:tabs>
          <w:tab w:val="num" w:pos="1070"/>
        </w:tabs>
        <w:ind w:left="107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E121F20"/>
    <w:multiLevelType w:val="hybridMultilevel"/>
    <w:tmpl w:val="4FD411D2"/>
    <w:lvl w:ilvl="0" w:tplc="2FFE680A">
      <w:start w:val="1"/>
      <w:numFmt w:val="decimal"/>
      <w:pStyle w:val="CS1"/>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A4368F1"/>
    <w:multiLevelType w:val="hybridMultilevel"/>
    <w:tmpl w:val="AE6ACA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D332072"/>
    <w:multiLevelType w:val="hybridMultilevel"/>
    <w:tmpl w:val="EB30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B64BC"/>
    <w:multiLevelType w:val="hybridMultilevel"/>
    <w:tmpl w:val="96245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D035DE"/>
    <w:multiLevelType w:val="hybridMultilevel"/>
    <w:tmpl w:val="7FA8C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241A6D"/>
    <w:multiLevelType w:val="hybridMultilevel"/>
    <w:tmpl w:val="E03E3D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3149C4"/>
    <w:multiLevelType w:val="hybridMultilevel"/>
    <w:tmpl w:val="404AD5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AC8742D"/>
    <w:multiLevelType w:val="hybridMultilevel"/>
    <w:tmpl w:val="5CBAA5B0"/>
    <w:lvl w:ilvl="0" w:tplc="04080005">
      <w:start w:val="1"/>
      <w:numFmt w:val="bullet"/>
      <w:lvlText w:val=""/>
      <w:lvlJc w:val="left"/>
      <w:pPr>
        <w:ind w:left="6150" w:hanging="360"/>
      </w:pPr>
      <w:rPr>
        <w:rFonts w:ascii="Wingdings" w:hAnsi="Wingdings" w:hint="default"/>
      </w:rPr>
    </w:lvl>
    <w:lvl w:ilvl="1" w:tplc="04080003" w:tentative="1">
      <w:start w:val="1"/>
      <w:numFmt w:val="bullet"/>
      <w:lvlText w:val="o"/>
      <w:lvlJc w:val="left"/>
      <w:pPr>
        <w:ind w:left="6870" w:hanging="360"/>
      </w:pPr>
      <w:rPr>
        <w:rFonts w:ascii="Courier New" w:hAnsi="Courier New" w:cs="Courier New" w:hint="default"/>
      </w:rPr>
    </w:lvl>
    <w:lvl w:ilvl="2" w:tplc="04080005" w:tentative="1">
      <w:start w:val="1"/>
      <w:numFmt w:val="bullet"/>
      <w:lvlText w:val=""/>
      <w:lvlJc w:val="left"/>
      <w:pPr>
        <w:ind w:left="7590" w:hanging="360"/>
      </w:pPr>
      <w:rPr>
        <w:rFonts w:ascii="Wingdings" w:hAnsi="Wingdings" w:hint="default"/>
      </w:rPr>
    </w:lvl>
    <w:lvl w:ilvl="3" w:tplc="04080001" w:tentative="1">
      <w:start w:val="1"/>
      <w:numFmt w:val="bullet"/>
      <w:lvlText w:val=""/>
      <w:lvlJc w:val="left"/>
      <w:pPr>
        <w:ind w:left="8310" w:hanging="360"/>
      </w:pPr>
      <w:rPr>
        <w:rFonts w:ascii="Symbol" w:hAnsi="Symbol" w:hint="default"/>
      </w:rPr>
    </w:lvl>
    <w:lvl w:ilvl="4" w:tplc="04080003" w:tentative="1">
      <w:start w:val="1"/>
      <w:numFmt w:val="bullet"/>
      <w:lvlText w:val="o"/>
      <w:lvlJc w:val="left"/>
      <w:pPr>
        <w:ind w:left="9030" w:hanging="360"/>
      </w:pPr>
      <w:rPr>
        <w:rFonts w:ascii="Courier New" w:hAnsi="Courier New" w:cs="Courier New" w:hint="default"/>
      </w:rPr>
    </w:lvl>
    <w:lvl w:ilvl="5" w:tplc="04080005" w:tentative="1">
      <w:start w:val="1"/>
      <w:numFmt w:val="bullet"/>
      <w:lvlText w:val=""/>
      <w:lvlJc w:val="left"/>
      <w:pPr>
        <w:ind w:left="9750" w:hanging="360"/>
      </w:pPr>
      <w:rPr>
        <w:rFonts w:ascii="Wingdings" w:hAnsi="Wingdings" w:hint="default"/>
      </w:rPr>
    </w:lvl>
    <w:lvl w:ilvl="6" w:tplc="04080001" w:tentative="1">
      <w:start w:val="1"/>
      <w:numFmt w:val="bullet"/>
      <w:lvlText w:val=""/>
      <w:lvlJc w:val="left"/>
      <w:pPr>
        <w:ind w:left="10470" w:hanging="360"/>
      </w:pPr>
      <w:rPr>
        <w:rFonts w:ascii="Symbol" w:hAnsi="Symbol" w:hint="default"/>
      </w:rPr>
    </w:lvl>
    <w:lvl w:ilvl="7" w:tplc="04080003" w:tentative="1">
      <w:start w:val="1"/>
      <w:numFmt w:val="bullet"/>
      <w:lvlText w:val="o"/>
      <w:lvlJc w:val="left"/>
      <w:pPr>
        <w:ind w:left="11190" w:hanging="360"/>
      </w:pPr>
      <w:rPr>
        <w:rFonts w:ascii="Courier New" w:hAnsi="Courier New" w:cs="Courier New" w:hint="default"/>
      </w:rPr>
    </w:lvl>
    <w:lvl w:ilvl="8" w:tplc="04080005" w:tentative="1">
      <w:start w:val="1"/>
      <w:numFmt w:val="bullet"/>
      <w:lvlText w:val=""/>
      <w:lvlJc w:val="left"/>
      <w:pPr>
        <w:ind w:left="11910" w:hanging="360"/>
      </w:pPr>
      <w:rPr>
        <w:rFonts w:ascii="Wingdings" w:hAnsi="Wingdings" w:hint="default"/>
      </w:rPr>
    </w:lvl>
  </w:abstractNum>
  <w:abstractNum w:abstractNumId="18" w15:restartNumberingAfterBreak="0">
    <w:nsid w:val="7C563005"/>
    <w:multiLevelType w:val="hybridMultilevel"/>
    <w:tmpl w:val="72E8B3D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9"/>
  </w:num>
  <w:num w:numId="4">
    <w:abstractNumId w:val="15"/>
  </w:num>
  <w:num w:numId="5">
    <w:abstractNumId w:val="2"/>
  </w:num>
  <w:num w:numId="6">
    <w:abstractNumId w:val="7"/>
  </w:num>
  <w:num w:numId="7">
    <w:abstractNumId w:val="11"/>
  </w:num>
  <w:num w:numId="8">
    <w:abstractNumId w:val="1"/>
  </w:num>
  <w:num w:numId="9">
    <w:abstractNumId w:val="14"/>
  </w:num>
  <w:num w:numId="10">
    <w:abstractNumId w:val="13"/>
  </w:num>
  <w:num w:numId="11">
    <w:abstractNumId w:val="4"/>
  </w:num>
  <w:num w:numId="12">
    <w:abstractNumId w:val="18"/>
  </w:num>
  <w:num w:numId="13">
    <w:abstractNumId w:val="6"/>
  </w:num>
  <w:num w:numId="14">
    <w:abstractNumId w:val="8"/>
  </w:num>
  <w:num w:numId="15">
    <w:abstractNumId w:val="16"/>
  </w:num>
  <w:num w:numId="16">
    <w:abstractNumId w:val="17"/>
  </w:num>
  <w:num w:numId="17">
    <w:abstractNumId w:val="3"/>
  </w:num>
  <w:num w:numId="18">
    <w:abstractNumId w:val="12"/>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4A"/>
    <w:rsid w:val="0001154F"/>
    <w:rsid w:val="00022282"/>
    <w:rsid w:val="00044B0F"/>
    <w:rsid w:val="00044DCB"/>
    <w:rsid w:val="0005399B"/>
    <w:rsid w:val="0009553E"/>
    <w:rsid w:val="000C704D"/>
    <w:rsid w:val="000E114E"/>
    <w:rsid w:val="000E1F44"/>
    <w:rsid w:val="000F2080"/>
    <w:rsid w:val="00103612"/>
    <w:rsid w:val="00104EFC"/>
    <w:rsid w:val="00165433"/>
    <w:rsid w:val="00167562"/>
    <w:rsid w:val="00171AB8"/>
    <w:rsid w:val="001728B0"/>
    <w:rsid w:val="0017714E"/>
    <w:rsid w:val="001C2474"/>
    <w:rsid w:val="001C520F"/>
    <w:rsid w:val="001D02DA"/>
    <w:rsid w:val="001D1F20"/>
    <w:rsid w:val="00201AEA"/>
    <w:rsid w:val="002161EE"/>
    <w:rsid w:val="00256778"/>
    <w:rsid w:val="002B0A01"/>
    <w:rsid w:val="002B1184"/>
    <w:rsid w:val="002C2A13"/>
    <w:rsid w:val="002D2764"/>
    <w:rsid w:val="002E77FB"/>
    <w:rsid w:val="00300BEC"/>
    <w:rsid w:val="003078A3"/>
    <w:rsid w:val="0031057F"/>
    <w:rsid w:val="00326EC5"/>
    <w:rsid w:val="0033742B"/>
    <w:rsid w:val="00347C43"/>
    <w:rsid w:val="00347FC8"/>
    <w:rsid w:val="003A355F"/>
    <w:rsid w:val="003C08EE"/>
    <w:rsid w:val="003C6EA2"/>
    <w:rsid w:val="003D4B3A"/>
    <w:rsid w:val="0040474A"/>
    <w:rsid w:val="00425A1A"/>
    <w:rsid w:val="00425E10"/>
    <w:rsid w:val="00431167"/>
    <w:rsid w:val="00431385"/>
    <w:rsid w:val="004352BF"/>
    <w:rsid w:val="004430EA"/>
    <w:rsid w:val="00453EA5"/>
    <w:rsid w:val="00461F91"/>
    <w:rsid w:val="00463956"/>
    <w:rsid w:val="00472507"/>
    <w:rsid w:val="00486EA6"/>
    <w:rsid w:val="00497E5D"/>
    <w:rsid w:val="004B5099"/>
    <w:rsid w:val="004B755F"/>
    <w:rsid w:val="004D3C9E"/>
    <w:rsid w:val="004E1D24"/>
    <w:rsid w:val="004E3F5A"/>
    <w:rsid w:val="004E7D70"/>
    <w:rsid w:val="004F3138"/>
    <w:rsid w:val="004F3F1E"/>
    <w:rsid w:val="0050079C"/>
    <w:rsid w:val="0050463C"/>
    <w:rsid w:val="00513E7B"/>
    <w:rsid w:val="00527A60"/>
    <w:rsid w:val="00531342"/>
    <w:rsid w:val="00543481"/>
    <w:rsid w:val="00551868"/>
    <w:rsid w:val="00554A3D"/>
    <w:rsid w:val="00567D00"/>
    <w:rsid w:val="005748E0"/>
    <w:rsid w:val="00595208"/>
    <w:rsid w:val="005A4633"/>
    <w:rsid w:val="005C3CEA"/>
    <w:rsid w:val="005C6217"/>
    <w:rsid w:val="005D0EC6"/>
    <w:rsid w:val="005F62F2"/>
    <w:rsid w:val="006007A0"/>
    <w:rsid w:val="006140EB"/>
    <w:rsid w:val="00622788"/>
    <w:rsid w:val="006239CE"/>
    <w:rsid w:val="00626261"/>
    <w:rsid w:val="00633575"/>
    <w:rsid w:val="00663F9A"/>
    <w:rsid w:val="0068081B"/>
    <w:rsid w:val="006A26F2"/>
    <w:rsid w:val="006A314D"/>
    <w:rsid w:val="006A44F3"/>
    <w:rsid w:val="006B2A1A"/>
    <w:rsid w:val="006B3B59"/>
    <w:rsid w:val="006C750A"/>
    <w:rsid w:val="006D7180"/>
    <w:rsid w:val="006D72AC"/>
    <w:rsid w:val="006F5598"/>
    <w:rsid w:val="00714D19"/>
    <w:rsid w:val="00727152"/>
    <w:rsid w:val="007279EC"/>
    <w:rsid w:val="00741716"/>
    <w:rsid w:val="00755DB7"/>
    <w:rsid w:val="00761045"/>
    <w:rsid w:val="00770C13"/>
    <w:rsid w:val="007C2450"/>
    <w:rsid w:val="007C755B"/>
    <w:rsid w:val="007F55AD"/>
    <w:rsid w:val="008208F8"/>
    <w:rsid w:val="00862BA8"/>
    <w:rsid w:val="00872A84"/>
    <w:rsid w:val="00893561"/>
    <w:rsid w:val="00897D86"/>
    <w:rsid w:val="008B37E3"/>
    <w:rsid w:val="008D6B5C"/>
    <w:rsid w:val="008D7105"/>
    <w:rsid w:val="008E4CBA"/>
    <w:rsid w:val="008F07DB"/>
    <w:rsid w:val="008F2CDE"/>
    <w:rsid w:val="008F3A72"/>
    <w:rsid w:val="008F56C8"/>
    <w:rsid w:val="009135F5"/>
    <w:rsid w:val="00946431"/>
    <w:rsid w:val="00954F47"/>
    <w:rsid w:val="009650A1"/>
    <w:rsid w:val="009661C1"/>
    <w:rsid w:val="00975059"/>
    <w:rsid w:val="00981022"/>
    <w:rsid w:val="009A568C"/>
    <w:rsid w:val="009B7148"/>
    <w:rsid w:val="009D3C06"/>
    <w:rsid w:val="00A16623"/>
    <w:rsid w:val="00A32EEC"/>
    <w:rsid w:val="00A35547"/>
    <w:rsid w:val="00A9181E"/>
    <w:rsid w:val="00AC35D1"/>
    <w:rsid w:val="00AD3579"/>
    <w:rsid w:val="00AD6643"/>
    <w:rsid w:val="00AD7E1A"/>
    <w:rsid w:val="00AE607B"/>
    <w:rsid w:val="00AE7676"/>
    <w:rsid w:val="00AF203F"/>
    <w:rsid w:val="00B0455E"/>
    <w:rsid w:val="00B12D63"/>
    <w:rsid w:val="00B244C1"/>
    <w:rsid w:val="00B256BC"/>
    <w:rsid w:val="00B372B3"/>
    <w:rsid w:val="00B63124"/>
    <w:rsid w:val="00B718AE"/>
    <w:rsid w:val="00B8404C"/>
    <w:rsid w:val="00B85559"/>
    <w:rsid w:val="00BA1996"/>
    <w:rsid w:val="00BB28C1"/>
    <w:rsid w:val="00BC3DB7"/>
    <w:rsid w:val="00BE4FC8"/>
    <w:rsid w:val="00BF1B49"/>
    <w:rsid w:val="00BF24CF"/>
    <w:rsid w:val="00C01D1D"/>
    <w:rsid w:val="00C049E2"/>
    <w:rsid w:val="00C213AA"/>
    <w:rsid w:val="00C2597B"/>
    <w:rsid w:val="00C63BB1"/>
    <w:rsid w:val="00C8695F"/>
    <w:rsid w:val="00CB30A2"/>
    <w:rsid w:val="00CD3BC9"/>
    <w:rsid w:val="00CE4A65"/>
    <w:rsid w:val="00D156EE"/>
    <w:rsid w:val="00D15DC7"/>
    <w:rsid w:val="00D20D20"/>
    <w:rsid w:val="00D473B0"/>
    <w:rsid w:val="00D54056"/>
    <w:rsid w:val="00D80B79"/>
    <w:rsid w:val="00D81D0A"/>
    <w:rsid w:val="00D82776"/>
    <w:rsid w:val="00D844F8"/>
    <w:rsid w:val="00D86B44"/>
    <w:rsid w:val="00D940C8"/>
    <w:rsid w:val="00D96C38"/>
    <w:rsid w:val="00DA513F"/>
    <w:rsid w:val="00DA53F8"/>
    <w:rsid w:val="00DD0CF4"/>
    <w:rsid w:val="00DD4D4A"/>
    <w:rsid w:val="00DF66A5"/>
    <w:rsid w:val="00DF76EA"/>
    <w:rsid w:val="00E611B6"/>
    <w:rsid w:val="00E6731A"/>
    <w:rsid w:val="00EA74D9"/>
    <w:rsid w:val="00EB4620"/>
    <w:rsid w:val="00ED29AE"/>
    <w:rsid w:val="00ED5538"/>
    <w:rsid w:val="00EE1BB5"/>
    <w:rsid w:val="00EE2529"/>
    <w:rsid w:val="00F01D59"/>
    <w:rsid w:val="00F0299C"/>
    <w:rsid w:val="00F1719A"/>
    <w:rsid w:val="00F24E13"/>
    <w:rsid w:val="00F70C01"/>
    <w:rsid w:val="00F9001D"/>
    <w:rsid w:val="00F91B8D"/>
    <w:rsid w:val="00F92E13"/>
    <w:rsid w:val="00FA639E"/>
    <w:rsid w:val="00FC1AE8"/>
    <w:rsid w:val="00FD1D6F"/>
    <w:rsid w:val="00FE25B1"/>
    <w:rsid w:val="00FF38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14033"/>
  <w15:chartTrackingRefBased/>
  <w15:docId w15:val="{4F1931D9-B5B3-4CF3-8B39-74C157C3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6EC5"/>
    <w:pPr>
      <w:autoSpaceDN w:val="0"/>
      <w:spacing w:line="249"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F24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171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CS1"/>
    <w:autoRedefine/>
    <w:qFormat/>
    <w:rsid w:val="00425A1A"/>
    <w:pPr>
      <w:numPr>
        <w:numId w:val="0"/>
      </w:numPr>
      <w:spacing w:before="360" w:after="120" w:line="240" w:lineRule="auto"/>
      <w:jc w:val="both"/>
    </w:pPr>
    <w:rPr>
      <w:rFonts w:cstheme="minorHAnsi"/>
      <w:color w:val="000000" w:themeColor="text1"/>
    </w:rPr>
  </w:style>
  <w:style w:type="character" w:customStyle="1" w:styleId="Heading2Char">
    <w:name w:val="Heading 2 Char"/>
    <w:basedOn w:val="DefaultParagraphFont"/>
    <w:link w:val="Heading2"/>
    <w:uiPriority w:val="9"/>
    <w:semiHidden/>
    <w:rsid w:val="00F1719A"/>
    <w:rPr>
      <w:rFonts w:asciiTheme="majorHAnsi" w:eastAsiaTheme="majorEastAsia" w:hAnsiTheme="majorHAnsi" w:cstheme="majorBidi"/>
      <w:color w:val="2F5496" w:themeColor="accent1" w:themeShade="BF"/>
      <w:sz w:val="26"/>
      <w:szCs w:val="26"/>
    </w:rPr>
  </w:style>
  <w:style w:type="paragraph" w:customStyle="1" w:styleId="2">
    <w:name w:val="Στυλ2"/>
    <w:basedOn w:val="Heading1"/>
    <w:autoRedefine/>
    <w:qFormat/>
    <w:rsid w:val="00F24E13"/>
    <w:rPr>
      <w:b/>
      <w:color w:val="auto"/>
      <w:sz w:val="22"/>
    </w:rPr>
  </w:style>
  <w:style w:type="character" w:customStyle="1" w:styleId="Heading1Char">
    <w:name w:val="Heading 1 Char"/>
    <w:basedOn w:val="DefaultParagraphFont"/>
    <w:link w:val="Heading1"/>
    <w:uiPriority w:val="9"/>
    <w:rsid w:val="00F24E13"/>
    <w:rPr>
      <w:rFonts w:asciiTheme="majorHAnsi" w:eastAsiaTheme="majorEastAsia" w:hAnsiTheme="majorHAnsi" w:cstheme="majorBidi"/>
      <w:color w:val="2F5496" w:themeColor="accent1" w:themeShade="BF"/>
      <w:sz w:val="32"/>
      <w:szCs w:val="32"/>
    </w:rPr>
  </w:style>
  <w:style w:type="paragraph" w:customStyle="1" w:styleId="10">
    <w:name w:val="ΧΡΙΣΤΙΝΑ_1"/>
    <w:basedOn w:val="Heading1"/>
    <w:autoRedefine/>
    <w:qFormat/>
    <w:rsid w:val="00F24E13"/>
    <w:pPr>
      <w:jc w:val="center"/>
    </w:pPr>
    <w:rPr>
      <w:rFonts w:asciiTheme="minorHAnsi" w:hAnsiTheme="minorHAnsi"/>
      <w:b/>
      <w:color w:val="auto"/>
      <w:sz w:val="28"/>
      <w:szCs w:val="28"/>
    </w:rPr>
  </w:style>
  <w:style w:type="paragraph" w:customStyle="1" w:styleId="3">
    <w:name w:val="Στυλ3"/>
    <w:basedOn w:val="10"/>
    <w:autoRedefine/>
    <w:qFormat/>
    <w:rsid w:val="00F24E13"/>
    <w:pPr>
      <w:spacing w:before="360" w:after="120"/>
      <w:jc w:val="left"/>
    </w:pPr>
    <w:rPr>
      <w:sz w:val="22"/>
    </w:rPr>
  </w:style>
  <w:style w:type="paragraph" w:customStyle="1" w:styleId="CS1">
    <w:name w:val="CS_1"/>
    <w:basedOn w:val="Heading1"/>
    <w:autoRedefine/>
    <w:qFormat/>
    <w:rsid w:val="007F55AD"/>
    <w:pPr>
      <w:numPr>
        <w:numId w:val="2"/>
      </w:numPr>
      <w:spacing w:line="360" w:lineRule="auto"/>
    </w:pPr>
    <w:rPr>
      <w:rFonts w:asciiTheme="minorHAnsi" w:hAnsiTheme="minorHAnsi"/>
      <w:b/>
      <w:sz w:val="22"/>
    </w:rPr>
  </w:style>
  <w:style w:type="paragraph" w:customStyle="1" w:styleId="4">
    <w:name w:val="Στυλ4"/>
    <w:basedOn w:val="CS1"/>
    <w:autoRedefine/>
    <w:qFormat/>
    <w:rsid w:val="007F55AD"/>
    <w:rPr>
      <w:color w:val="000000" w:themeColor="text1"/>
    </w:rPr>
  </w:style>
  <w:style w:type="paragraph" w:customStyle="1" w:styleId="5">
    <w:name w:val="Στυλ5"/>
    <w:basedOn w:val="Normal"/>
    <w:autoRedefine/>
    <w:qFormat/>
    <w:rsid w:val="007F55AD"/>
    <w:pPr>
      <w:keepNext/>
      <w:keepLines/>
      <w:spacing w:before="160" w:after="120" w:line="240" w:lineRule="auto"/>
      <w:jc w:val="both"/>
      <w:outlineLvl w:val="1"/>
    </w:pPr>
    <w:rPr>
      <w:rFonts w:eastAsiaTheme="majorEastAsia" w:cstheme="majorBidi"/>
      <w:b/>
      <w:color w:val="2F5496" w:themeColor="accent1" w:themeShade="BF"/>
      <w:szCs w:val="26"/>
    </w:rPr>
  </w:style>
  <w:style w:type="paragraph" w:styleId="Header">
    <w:name w:val="header"/>
    <w:basedOn w:val="Normal"/>
    <w:link w:val="HeaderChar"/>
    <w:uiPriority w:val="99"/>
    <w:unhideWhenUsed/>
    <w:rsid w:val="00DD4D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4D4A"/>
  </w:style>
  <w:style w:type="paragraph" w:styleId="Footer">
    <w:name w:val="footer"/>
    <w:basedOn w:val="Normal"/>
    <w:link w:val="FooterChar"/>
    <w:uiPriority w:val="99"/>
    <w:unhideWhenUsed/>
    <w:rsid w:val="00DD4D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4D4A"/>
  </w:style>
  <w:style w:type="table" w:styleId="TableGrid">
    <w:name w:val="Table Grid"/>
    <w:basedOn w:val="TableNormal"/>
    <w:uiPriority w:val="39"/>
    <w:rsid w:val="00DD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4D4A"/>
    <w:rPr>
      <w:color w:val="0563C1" w:themeColor="hyperlink"/>
      <w:u w:val="single"/>
    </w:rPr>
  </w:style>
  <w:style w:type="character" w:customStyle="1" w:styleId="11">
    <w:name w:val="Ανεπίλυτη αναφορά1"/>
    <w:basedOn w:val="DefaultParagraphFont"/>
    <w:uiPriority w:val="99"/>
    <w:semiHidden/>
    <w:unhideWhenUsed/>
    <w:rsid w:val="00DD4D4A"/>
    <w:rPr>
      <w:color w:val="605E5C"/>
      <w:shd w:val="clear" w:color="auto" w:fill="E1DFDD"/>
    </w:rPr>
  </w:style>
  <w:style w:type="paragraph" w:styleId="BalloonText">
    <w:name w:val="Balloon Text"/>
    <w:basedOn w:val="Normal"/>
    <w:link w:val="BalloonTextChar"/>
    <w:uiPriority w:val="99"/>
    <w:semiHidden/>
    <w:unhideWhenUsed/>
    <w:rsid w:val="00B85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59"/>
    <w:rPr>
      <w:rFonts w:ascii="Segoe UI" w:hAnsi="Segoe UI" w:cs="Segoe UI"/>
      <w:sz w:val="18"/>
      <w:szCs w:val="18"/>
    </w:rPr>
  </w:style>
  <w:style w:type="paragraph" w:customStyle="1" w:styleId="cm6">
    <w:name w:val="cm6"/>
    <w:basedOn w:val="Normal"/>
    <w:rsid w:val="00C8695F"/>
    <w:pPr>
      <w:autoSpaceDE w:val="0"/>
      <w:spacing w:after="0" w:line="240" w:lineRule="auto"/>
    </w:pPr>
    <w:rPr>
      <w:rFonts w:eastAsia="Times New Roman"/>
      <w:sz w:val="24"/>
      <w:szCs w:val="24"/>
      <w:lang w:eastAsia="el-GR"/>
    </w:rPr>
  </w:style>
  <w:style w:type="paragraph" w:styleId="ListParagraph">
    <w:name w:val="List Paragraph"/>
    <w:basedOn w:val="Normal"/>
    <w:uiPriority w:val="34"/>
    <w:qFormat/>
    <w:rsid w:val="00B718AE"/>
    <w:pPr>
      <w:ind w:left="720"/>
      <w:contextualSpacing/>
    </w:pPr>
  </w:style>
  <w:style w:type="paragraph" w:customStyle="1" w:styleId="12">
    <w:name w:val="Βασικό1"/>
    <w:rsid w:val="00326EC5"/>
    <w:pPr>
      <w:suppressAutoHyphens/>
      <w:autoSpaceDN w:val="0"/>
      <w:spacing w:line="249" w:lineRule="auto"/>
      <w:textAlignment w:val="baseline"/>
    </w:pPr>
    <w:rPr>
      <w:rFonts w:ascii="Calibri" w:eastAsia="Calibri" w:hAnsi="Calibri" w:cs="Times New Roman"/>
    </w:rPr>
  </w:style>
  <w:style w:type="character" w:customStyle="1" w:styleId="13">
    <w:name w:val="Προεπιλεγμένη γραμματοσειρά1"/>
    <w:rsid w:val="00326EC5"/>
  </w:style>
  <w:style w:type="paragraph" w:customStyle="1" w:styleId="Default">
    <w:name w:val="Default"/>
    <w:rsid w:val="00663F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5D5EA-C013-4EC2-BAF7-A8BAF460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1154</Words>
  <Characters>6581</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SIONTOROU</dc:creator>
  <cp:keywords/>
  <dc:description/>
  <cp:lastModifiedBy>User</cp:lastModifiedBy>
  <cp:revision>12</cp:revision>
  <cp:lastPrinted>2020-12-17T15:58:00Z</cp:lastPrinted>
  <dcterms:created xsi:type="dcterms:W3CDTF">2023-11-06T10:06:00Z</dcterms:created>
  <dcterms:modified xsi:type="dcterms:W3CDTF">2023-11-12T05:28:00Z</dcterms:modified>
</cp:coreProperties>
</file>