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091341" w14:textId="77777777" w:rsidR="00760274" w:rsidRPr="00B540EF" w:rsidRDefault="00760274" w:rsidP="00760274">
      <w:pPr>
        <w:pStyle w:val="Heading1"/>
        <w:pBdr>
          <w:top w:val="single" w:sz="4" w:space="1" w:color="auto"/>
          <w:left w:val="single" w:sz="4" w:space="4" w:color="auto"/>
          <w:bottom w:val="single" w:sz="4" w:space="1" w:color="auto"/>
          <w:right w:val="single" w:sz="4" w:space="4" w:color="auto"/>
        </w:pBdr>
        <w:jc w:val="center"/>
        <w:rPr>
          <w:color w:val="1F497D" w:themeColor="text2"/>
          <w:lang w:val="el-GR"/>
        </w:rPr>
      </w:pPr>
      <w:bookmarkStart w:id="0" w:name="_GoBack"/>
      <w:bookmarkEnd w:id="0"/>
      <w:r w:rsidRPr="00B540EF">
        <w:rPr>
          <w:color w:val="1F497D" w:themeColor="text2"/>
          <w:lang w:val="el-GR"/>
        </w:rPr>
        <w:t>ΕΥΡΩΠΑΪΚΟ ΔΙΚΑΙΟ ΕΠΙΧΕΙΡΗΣΕΩΝ ΚΑΙ ΑΝΤΑΓΩΝΙΣΜΟΥ</w:t>
      </w:r>
    </w:p>
    <w:p w14:paraId="4A70B0D1" w14:textId="2D8DE110" w:rsidR="00760274" w:rsidRPr="00B540EF" w:rsidRDefault="00760274" w:rsidP="00760274">
      <w:pPr>
        <w:pStyle w:val="Heading1"/>
        <w:pBdr>
          <w:top w:val="single" w:sz="4" w:space="1" w:color="auto"/>
          <w:left w:val="single" w:sz="4" w:space="4" w:color="auto"/>
          <w:bottom w:val="single" w:sz="4" w:space="1" w:color="auto"/>
          <w:right w:val="single" w:sz="4" w:space="4" w:color="auto"/>
        </w:pBdr>
        <w:spacing w:before="240"/>
        <w:jc w:val="center"/>
        <w:rPr>
          <w:color w:val="1F497D" w:themeColor="text2"/>
          <w:lang w:val="el-GR"/>
        </w:rPr>
      </w:pPr>
      <w:r w:rsidRPr="00B540EF">
        <w:rPr>
          <w:color w:val="1F497D" w:themeColor="text2"/>
          <w:lang w:val="el-GR"/>
        </w:rPr>
        <w:t xml:space="preserve">Σχεδιάγραμμα Διδασκαλίας Μαθήματος </w:t>
      </w:r>
    </w:p>
    <w:p w14:paraId="53FA4399" w14:textId="77777777" w:rsidR="00760274" w:rsidRPr="00B540EF" w:rsidRDefault="00760274" w:rsidP="00760274">
      <w:pPr>
        <w:jc w:val="center"/>
        <w:rPr>
          <w:color w:val="1F497D" w:themeColor="text2"/>
          <w:lang w:val="el-GR"/>
        </w:rPr>
      </w:pPr>
    </w:p>
    <w:p w14:paraId="355B9D64" w14:textId="106183F6" w:rsidR="002674B8" w:rsidRPr="00CC1034" w:rsidRDefault="002674B8" w:rsidP="002674B8">
      <w:pPr>
        <w:rPr>
          <w:rFonts w:ascii="Calibri" w:hAnsi="Calibri" w:cs="Calibri"/>
          <w:i/>
          <w:lang w:val="el-GR"/>
        </w:rPr>
      </w:pPr>
      <w:r w:rsidRPr="00CC1034">
        <w:rPr>
          <w:rFonts w:ascii="Calibri" w:hAnsi="Calibri" w:cs="Calibri"/>
          <w:i/>
          <w:lang w:val="el-GR"/>
        </w:rPr>
        <w:t>Θεόδωρος Γαλάνης</w:t>
      </w:r>
    </w:p>
    <w:p w14:paraId="2EF7B99B" w14:textId="77777777" w:rsidR="002674B8" w:rsidRPr="00CC1034" w:rsidRDefault="002674B8" w:rsidP="002674B8">
      <w:pPr>
        <w:rPr>
          <w:lang w:val="el-GR"/>
        </w:rPr>
      </w:pPr>
    </w:p>
    <w:p w14:paraId="3C86F770" w14:textId="77777777" w:rsidR="002674B8" w:rsidRPr="00CC1034" w:rsidRDefault="002674B8" w:rsidP="002674B8">
      <w:pPr>
        <w:jc w:val="both"/>
        <w:rPr>
          <w:rFonts w:ascii="Calibri" w:hAnsi="Calibri"/>
          <w:lang w:val="el-GR"/>
        </w:rPr>
      </w:pPr>
      <w:r w:rsidRPr="00CC1034">
        <w:rPr>
          <w:rFonts w:ascii="Calibri" w:hAnsi="Calibri"/>
          <w:lang w:val="el-GR"/>
        </w:rPr>
        <w:t>Αντικείμενο του μαθήματος «Ευρωπαϊκό Δίκαιο Επιχειρήσεων και Ανταγωνισμού» είναι η παρουσίαση του ενωσιακού κανονιστικού πλαισίου που διέπει τις δραστηριότητες των επιχειρήσεων στην εσωτερική αγορά. Σκοπός του μαθήματος είναι αφενός η εξοικείωση των φοιτητών με βασικές έννοιες του οικονομικού δικαίου της Ευρωπαϊκής Ένωσης και αφετέρου η εμβάθυνση σε επιλεγμένους, βασικούς του άξονες. Οι κανόνες που ισχύουν για τις ευρωπαϊκές εταιρίες, το κανονιστικό πλέγμα προστασίας των καταναλωτών, οι κανόνες για τις δημόσιες συμβάσεις και το νομοθετικό πλαίσιο περί ανταγωνισμού συνιστούν τις βασικές συνιστώσες του δικαίου που ρυθμίζει τη λειτουργία των οικονομικών φορέων σε ενωσιακό επίπεδο. Κοινή συνισταμένη των ανωτέρω πυλ</w:t>
      </w:r>
      <w:r w:rsidRPr="00CC1034">
        <w:rPr>
          <w:rFonts w:ascii="Calibri" w:hAnsi="Calibri"/>
          <w:vanish/>
          <w:lang w:val="el-GR"/>
        </w:rPr>
        <w:t xml:space="preserve">νων </w:t>
      </w:r>
      <w:r w:rsidRPr="00CC1034">
        <w:rPr>
          <w:rFonts w:ascii="Calibri" w:hAnsi="Calibri"/>
          <w:vanish/>
        </w:rPr>
        <w:t>﷽﷽﷽﷽﷽﷽</w:t>
      </w:r>
      <w:r w:rsidRPr="00CC1034">
        <w:rPr>
          <w:rFonts w:ascii="Calibri" w:hAnsi="Calibri"/>
          <w:vanish/>
          <w:lang w:val="el-GR"/>
        </w:rPr>
        <w:t>ωνισμού συνιστούν τιςςιτουργικο</w:t>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lang w:val="el-GR"/>
        </w:rPr>
        <w:t>ώνων είναι η τελολογία οικοδόμησης και ολοκλήρωσης της εσωτερικής αγοράς, η οποία επηρε</w:t>
      </w:r>
      <w:r w:rsidRPr="00CC1034">
        <w:rPr>
          <w:rFonts w:ascii="Calibri" w:hAnsi="Calibri"/>
          <w:vanish/>
          <w:lang w:val="el-GR"/>
        </w:rPr>
        <w:t>ζει</w:t>
      </w:r>
      <w:r w:rsidRPr="00CC1034">
        <w:rPr>
          <w:rFonts w:ascii="Calibri" w:hAnsi="Calibri"/>
          <w:vanish/>
        </w:rPr>
        <w:t>﷽﷽﷽﷽﷽﷽﷽</w:t>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lang w:val="el-GR"/>
        </w:rPr>
        <w:t>ιτουργικο</w:t>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vanish/>
        </w:rPr>
        <w:pgNum/>
      </w:r>
      <w:r w:rsidRPr="00CC1034">
        <w:rPr>
          <w:rFonts w:ascii="Calibri" w:hAnsi="Calibri"/>
          <w:lang w:val="el-GR"/>
        </w:rPr>
        <w:t>άζει σημαντικά την κανονιστική τους συγκρότηση.</w:t>
      </w:r>
    </w:p>
    <w:p w14:paraId="20CF5630" w14:textId="77777777" w:rsidR="002674B8" w:rsidRPr="00CC1034" w:rsidRDefault="002674B8" w:rsidP="002674B8">
      <w:pPr>
        <w:jc w:val="both"/>
        <w:rPr>
          <w:rFonts w:ascii="Calibri" w:hAnsi="Calibri"/>
          <w:lang w:val="el-GR"/>
        </w:rPr>
      </w:pPr>
    </w:p>
    <w:p w14:paraId="4D2A2263" w14:textId="547133C9" w:rsidR="002674B8" w:rsidRPr="00CC1034" w:rsidRDefault="002674B8" w:rsidP="002674B8">
      <w:pPr>
        <w:jc w:val="both"/>
        <w:rPr>
          <w:rFonts w:ascii="Calibri" w:hAnsi="Calibri"/>
          <w:lang w:val="el-GR"/>
        </w:rPr>
      </w:pPr>
      <w:r w:rsidRPr="00CC1034">
        <w:rPr>
          <w:rFonts w:ascii="Calibri" w:hAnsi="Calibri"/>
          <w:lang w:val="el-GR"/>
        </w:rPr>
        <w:t>Το διάγραμμα της ύλης, το οποίο εκτίθεται στη συνέχεια</w:t>
      </w:r>
      <w:r w:rsidR="00B540EF">
        <w:rPr>
          <w:rFonts w:ascii="Calibri" w:hAnsi="Calibri"/>
          <w:lang w:val="el-GR"/>
        </w:rPr>
        <w:t>, έχει συνοπτικά ως εξής:</w:t>
      </w:r>
      <w:r w:rsidRPr="00CC1034">
        <w:rPr>
          <w:rFonts w:ascii="Calibri" w:hAnsi="Calibri"/>
          <w:lang w:val="el-GR"/>
        </w:rPr>
        <w:t xml:space="preserve"> ακολουθεί τη λογική υποκείμενα των κανόνων</w:t>
      </w:r>
      <w:r w:rsidR="00B540EF">
        <w:rPr>
          <w:rFonts w:ascii="Calibri" w:hAnsi="Calibri"/>
          <w:lang w:val="el-GR"/>
        </w:rPr>
        <w:t xml:space="preserve"> (εταιρίες, καταναλωτές) </w:t>
      </w:r>
      <w:r w:rsidRPr="00CC1034">
        <w:rPr>
          <w:rFonts w:ascii="Calibri" w:hAnsi="Calibri"/>
          <w:lang w:val="el-GR"/>
        </w:rPr>
        <w:t>-</w:t>
      </w:r>
      <w:r w:rsidR="00B540EF">
        <w:rPr>
          <w:rFonts w:ascii="Calibri" w:hAnsi="Calibri"/>
          <w:lang w:val="el-GR"/>
        </w:rPr>
        <w:t xml:space="preserve"> </w:t>
      </w:r>
      <w:r w:rsidRPr="00CC1034">
        <w:rPr>
          <w:rFonts w:ascii="Calibri" w:hAnsi="Calibri"/>
          <w:lang w:val="el-GR"/>
        </w:rPr>
        <w:t>περιεχόμενο των κανόνων. Εισαγωγικά, παρατίθενται κάποια βασικά στοιχεία για την Ευρωπαϊκή Ένωση, την εσωτερική αγορά και τις 4 θεμελιώδεις ελευθερίες κίνησης. Στο πρώτο μέρος, παρουσιάζονται οι κανόνες που ρυθμίζουν τη σύσταση και λειτουργία των ευρωπαϊκών εταιριών. Αφού γίνει αναφορά στους στόχους και τις πηγές του ενωσιακού εταιρικού δικαίου,</w:t>
      </w:r>
      <w:r w:rsidRPr="00CC1034">
        <w:rPr>
          <w:rFonts w:ascii="Calibri" w:hAnsi="Calibri"/>
        </w:rPr>
        <w:t> </w:t>
      </w:r>
      <w:r w:rsidRPr="00CC1034">
        <w:rPr>
          <w:rFonts w:ascii="Calibri" w:hAnsi="Calibri"/>
          <w:lang w:val="el-GR"/>
        </w:rPr>
        <w:t>διερευνάται η σχέση του με την ελευθερία εγκατάστασης, μέσα από τη νομολογία του ΔΕΕ. Στη συνέχεια, αναλύονται οι βασικοί άξονες του ενωσιακού εταιρικού δικαίου, ήτοι το πλέγμα των οδηγιών που διαμορφώνουν ένα σύνολο ελάχιστων κοινών υποχρεώσεων σύστασης και λειτουργίας των ευρωπαϊκών εταιριών, οι κανονιστικές πρωτοβουλίες που αποσκοπούν στην άρση των εμποδίων για την ανάπτυξη των εταιριών σε ευρωπαϊκό επίπεδο και τέλος, οι ευρωπαϊκές μορφές εταιριών, όπως προκύπτουν από τη δευτερεύουσα ενωσιακή νομοθεσία. Το τρίτο μέρος, αφιερώνεται στο ενωσιακό δίκαιο προστασίας του καταναλωτή, με παράθεση, καταρχάς, των γενικών αρχών που διέπουν την πολιτική προστασίας του καταναλωτή σε ενωσιακό επίπεδο και τη σύνδεση της τελευταίας με το στόχο της οικονομικής ενοποίησης και ολοκλήρωσης της εσωτερικής αγοράς. Ακολούθως, προσεγγίζεται η ιδιαίτερη πυκνή ενωσιακή νομοθεσία που στοχεύει στην προστασία των οικονομικών συμφερόντων του καταναλωτή, όπως η επισήμανση των προϊόντων, οι κανόνες που ισχύουν για ειδικούς τύπους συμβάσεων</w:t>
      </w:r>
      <w:r w:rsidR="00B540EF">
        <w:rPr>
          <w:rFonts w:ascii="Calibri" w:hAnsi="Calibri"/>
          <w:lang w:val="el-GR"/>
        </w:rPr>
        <w:t xml:space="preserve"> (συμβάσεις</w:t>
      </w:r>
      <w:r w:rsidRPr="00CC1034">
        <w:rPr>
          <w:rFonts w:ascii="Calibri" w:hAnsi="Calibri"/>
          <w:lang w:val="el-GR"/>
        </w:rPr>
        <w:t xml:space="preserve"> εκτός εμπορικο</w:t>
      </w:r>
      <w:r w:rsidR="00B540EF">
        <w:rPr>
          <w:rFonts w:ascii="Calibri" w:hAnsi="Calibri"/>
          <w:lang w:val="el-GR"/>
        </w:rPr>
        <w:t>ύ καταστήματος ή εξ’αποστάσεως),</w:t>
      </w:r>
      <w:r w:rsidRPr="00CC1034">
        <w:rPr>
          <w:rFonts w:ascii="Calibri" w:hAnsi="Calibri"/>
          <w:lang w:val="el-GR"/>
        </w:rPr>
        <w:t xml:space="preserve"> καθώς και οι δυνατότητες δικαστικής και εξωδικαστικής προστασίας</w:t>
      </w:r>
      <w:r w:rsidR="00B540EF">
        <w:rPr>
          <w:rFonts w:ascii="Calibri" w:hAnsi="Calibri"/>
          <w:lang w:val="el-GR"/>
        </w:rPr>
        <w:t xml:space="preserve"> του</w:t>
      </w:r>
      <w:r w:rsidRPr="00CC1034">
        <w:rPr>
          <w:rFonts w:ascii="Calibri" w:hAnsi="Calibri"/>
          <w:lang w:val="el-GR"/>
        </w:rPr>
        <w:t>. Το τρίτο μέρος ολοκληρώνεται με την περιγραφή του πλέγματος προστασίας της υγείας και της ασφάλειας του καταναλωτή που έχει θεσπίσει η ενωσιακή δικαιοταξία και με μια σύντομη νύξη στη σχέση της πολιτικής προστασίας του καταναλωτή με την πολιτική προστασίας του ανταγωνισμού.</w:t>
      </w:r>
    </w:p>
    <w:p w14:paraId="64761D95" w14:textId="77777777" w:rsidR="002674B8" w:rsidRPr="00CC1034" w:rsidRDefault="002674B8" w:rsidP="002674B8">
      <w:pPr>
        <w:jc w:val="both"/>
        <w:rPr>
          <w:rFonts w:ascii="Calibri" w:hAnsi="Calibri"/>
          <w:lang w:val="el-GR"/>
        </w:rPr>
      </w:pPr>
    </w:p>
    <w:p w14:paraId="2259D35E" w14:textId="5BFC86E7" w:rsidR="002674B8" w:rsidRPr="00CC1034" w:rsidRDefault="002674B8" w:rsidP="002674B8">
      <w:pPr>
        <w:jc w:val="both"/>
        <w:rPr>
          <w:rFonts w:ascii="Calibri" w:hAnsi="Calibri"/>
          <w:lang w:val="el-GR"/>
        </w:rPr>
      </w:pPr>
      <w:proofErr w:type="gramStart"/>
      <w:r w:rsidRPr="00CC1034">
        <w:rPr>
          <w:rFonts w:ascii="Calibri" w:hAnsi="Calibri"/>
        </w:rPr>
        <w:t>T</w:t>
      </w:r>
      <w:r w:rsidRPr="00CC1034">
        <w:rPr>
          <w:rFonts w:ascii="Calibri" w:hAnsi="Calibri"/>
          <w:lang w:val="el-GR"/>
        </w:rPr>
        <w:t>ο τέταρτο μέρος πραγματεύεται το ενωσιακό νομοθετικό πλαίσιο για τη σύναψη δημοσίων συμβάσεων.</w:t>
      </w:r>
      <w:proofErr w:type="gramEnd"/>
      <w:r w:rsidRPr="00CC1034">
        <w:rPr>
          <w:rFonts w:ascii="Calibri" w:hAnsi="Calibri"/>
          <w:lang w:val="el-GR"/>
        </w:rPr>
        <w:t xml:space="preserve"> Η μετεξέλιξη και ο διαρκής εμπλουτισμός των αρχικών βασικών </w:t>
      </w:r>
      <w:r w:rsidRPr="00CC1034">
        <w:rPr>
          <w:rFonts w:ascii="Calibri" w:hAnsi="Calibri"/>
          <w:lang w:val="el-GR"/>
        </w:rPr>
        <w:lastRenderedPageBreak/>
        <w:t>αρχών της ελεύθερης παροχής υπηρεσιών, του ανταγωνισμού, της ίσης μεταχείρισης και της διαφάνειας έχει δημιουργήσει μια νέα νομική πραγματικότητα, ένα πυκνό σύνολο κανόνων που διέπουν την ανάθεση δημοσίων συμβάσεων προϊόντων, υπηρεσιών και έργων</w:t>
      </w:r>
      <w:r w:rsidR="00B540EF">
        <w:rPr>
          <w:rFonts w:ascii="Calibri" w:hAnsi="Calibri"/>
          <w:lang w:val="el-GR"/>
        </w:rPr>
        <w:t>,</w:t>
      </w:r>
      <w:r w:rsidRPr="00CC1034">
        <w:rPr>
          <w:rFonts w:ascii="Calibri" w:hAnsi="Calibri"/>
          <w:lang w:val="el-GR"/>
        </w:rPr>
        <w:t xml:space="preserve"> καθώς και συμβάσεων παραχώρησης. Στο τέταρτο μέρος παρουσιάζεται το ισχύον νομοθετικό πλαίσιο στο εν λόγω πεδίο, συμπεριλαμβανομένης της προβλεπόμενης έννομης προστασίας και της διεθνούς διάστασης, με αναφορά στη συμφωνία για τις δημόσιες συμβάσεις, στο πλαίσιο του Παγκόσμιου Οργανισμού Εμπορίου.</w:t>
      </w:r>
    </w:p>
    <w:p w14:paraId="6B0E88C0" w14:textId="77777777" w:rsidR="002674B8" w:rsidRPr="00CC1034" w:rsidRDefault="002674B8" w:rsidP="002674B8">
      <w:pPr>
        <w:jc w:val="both"/>
        <w:rPr>
          <w:rFonts w:ascii="Calibri" w:hAnsi="Calibri"/>
          <w:lang w:val="el-GR"/>
        </w:rPr>
      </w:pPr>
    </w:p>
    <w:p w14:paraId="27A11228" w14:textId="27BD0AAF" w:rsidR="002674B8" w:rsidRPr="00CC1034" w:rsidRDefault="002674B8" w:rsidP="002674B8">
      <w:pPr>
        <w:jc w:val="both"/>
        <w:rPr>
          <w:rFonts w:ascii="Calibri" w:hAnsi="Calibri"/>
          <w:lang w:val="el-GR"/>
        </w:rPr>
      </w:pPr>
      <w:r w:rsidRPr="00CC1034">
        <w:rPr>
          <w:rFonts w:ascii="Calibri" w:hAnsi="Calibri"/>
          <w:lang w:val="el-GR"/>
        </w:rPr>
        <w:t xml:space="preserve">Το τελευταίο μέρος, επικεντρώνεται στο ενωσιακό κανονιστικό πλαίσιο προστασίας και ανάπτυξης του ανταγωνισμού. Αν και τελευταίο, το συγκεκριμένο θεματικό πεδίο είναι κεντρικό σε κάθε προσπάθεια προσέγγισης του οικονομικού δικαίου της Ένωσης. Με αφετηρία </w:t>
      </w:r>
      <w:r w:rsidR="00B540EF">
        <w:rPr>
          <w:rFonts w:ascii="Calibri" w:hAnsi="Calibri"/>
          <w:lang w:val="el-GR"/>
        </w:rPr>
        <w:t>ευάριθμους</w:t>
      </w:r>
      <w:r w:rsidRPr="00CC1034">
        <w:rPr>
          <w:rFonts w:ascii="Calibri" w:hAnsi="Calibri"/>
          <w:lang w:val="el-GR"/>
        </w:rPr>
        <w:t xml:space="preserve"> γενικούς, ελλειπτικούς κανόνες που εγγράφηκαν ήδη στις ιδρυτικές Συνθήκες, η Επιτροπή, σε αγαστή συνεργασία με τα ενωσιακά δικαιοδοτικά όργανα, έχει προοδευτικά οικοδομήσει έναν ξεχωριστό, ιδιαίτερα αναπτυσσόμενο κλάδο του ενωσιακού δικαίου, με πλήθος κανόνων δευτερογενούς αλλά και ήπιου δικαίου (ανακοινώσεις, κατευθυντήριες γραμμές). Το πλαίσιο αυτό αφορά τόσο τον ανταγωνισμό μεταξύ των επιχειρήσεων, όσο και την κρατική παρέμβαση στην αγορά. Με βάση τα παραπάνω δεδομένα, εξετάζονται διαδοχικά, μετά από μια σύντομη μνεία στα γενικά χαρακτηριστικά της ενωσιακής πολιτικής ανταγωνισμού, η απαγόρευση αντιανταγωνιστικών συμπράξεων (άρθρο 101 ΣΛΕΕ), η απαγόρευση κατάχρησης δεσπόζουσας θέσης (102 ΣΛΕΕ), η διαδικασία εφαρμογής των συγκεκριμένων άρθρων, καθώς και το πλαίσιο ελέγχου των συγκεντρώσεων επιχειρήσεων. Η ενότητα που αφορά τον ανταγωνισμό μεταξύ επιχειρήσεων κλείνει με μια αναφορά στην ειδική ρυθμιστική νομοθεσία που έχει θεσπισθεί σε ενωσιακό επίπεδο για τη ρύθμιση και την εποπτεία των αγορών δικτύου, με έμφαση στις ηλεκτρονικές επικοινωνίες. </w:t>
      </w:r>
    </w:p>
    <w:p w14:paraId="69424B4A" w14:textId="77777777" w:rsidR="002674B8" w:rsidRPr="00CC1034" w:rsidRDefault="002674B8" w:rsidP="002674B8">
      <w:pPr>
        <w:jc w:val="both"/>
        <w:rPr>
          <w:rFonts w:ascii="Calibri" w:hAnsi="Calibri"/>
          <w:lang w:val="el-GR"/>
        </w:rPr>
      </w:pPr>
    </w:p>
    <w:p w14:paraId="2F4F5004" w14:textId="77777777" w:rsidR="002674B8" w:rsidRPr="00CC1034" w:rsidRDefault="002674B8" w:rsidP="002674B8">
      <w:pPr>
        <w:jc w:val="both"/>
        <w:rPr>
          <w:rFonts w:ascii="Calibri" w:hAnsi="Calibri"/>
          <w:lang w:val="el-GR"/>
        </w:rPr>
      </w:pPr>
      <w:r w:rsidRPr="00CC1034">
        <w:rPr>
          <w:rFonts w:ascii="Calibri" w:hAnsi="Calibri"/>
          <w:lang w:val="el-GR"/>
        </w:rPr>
        <w:t xml:space="preserve">Η ενότητα για την κρατική παρέμβαση στον ανταγωνισμό, επιμερίζεται στην εξέταση του καθεστώτος που διέπει τις δημόσιες επιχειρήσεις και τις επιχειρήσεις που είναι επιφορτισμένες με τη διαχείριση υπηρεσιών γενικού συμφέροντος, και τους κανόνες για τις κρατικές ενισχύσεις. Ειδικά οι τελευταίοι αποτελούν για ορισμένους συγγραφείς ξεχωριστό αντικείμενο σε σχέση με τους κανόνες περί ανταγωνισμού, λόγω της ιδιαιτερότητάς τους. Προκρίνουμε την ενιαία θεώρησή τους, καθώς συχνά συμπλέκονται με τους κανόνες περί αντιανταγωνιστικών πρακτικών, ενώ ρυθμίζουν και προστατεύουν τη λειτουργία του ανταγωνισμού </w:t>
      </w:r>
      <w:r w:rsidRPr="00CC1034">
        <w:rPr>
          <w:rFonts w:ascii="Calibri" w:hAnsi="Calibri"/>
          <w:lang w:val="fr-FR"/>
        </w:rPr>
        <w:t>lato</w:t>
      </w:r>
      <w:r w:rsidRPr="00CC1034">
        <w:rPr>
          <w:rFonts w:ascii="Calibri" w:hAnsi="Calibri"/>
          <w:lang w:val="el-GR"/>
        </w:rPr>
        <w:t xml:space="preserve"> </w:t>
      </w:r>
      <w:r w:rsidRPr="00CC1034">
        <w:rPr>
          <w:rFonts w:ascii="Calibri" w:hAnsi="Calibri"/>
          <w:lang w:val="fr-FR"/>
        </w:rPr>
        <w:t>sensu</w:t>
      </w:r>
      <w:r w:rsidRPr="00CC1034">
        <w:rPr>
          <w:rFonts w:ascii="Calibri" w:hAnsi="Calibri"/>
          <w:lang w:val="el-GR"/>
        </w:rPr>
        <w:t>.</w:t>
      </w:r>
    </w:p>
    <w:p w14:paraId="10BD8625" w14:textId="77777777" w:rsidR="002674B8" w:rsidRPr="00CC1034" w:rsidRDefault="002674B8" w:rsidP="002674B8">
      <w:pPr>
        <w:jc w:val="both"/>
        <w:rPr>
          <w:rFonts w:ascii="Calibri" w:hAnsi="Calibri"/>
          <w:lang w:val="el-GR"/>
        </w:rPr>
      </w:pPr>
    </w:p>
    <w:p w14:paraId="51CFE101" w14:textId="016BF682" w:rsidR="002674B8" w:rsidRPr="00CC1034" w:rsidRDefault="002674B8" w:rsidP="002674B8">
      <w:pPr>
        <w:jc w:val="both"/>
        <w:rPr>
          <w:rFonts w:ascii="Calibri" w:hAnsi="Calibri"/>
          <w:lang w:val="el-GR"/>
        </w:rPr>
      </w:pPr>
      <w:r w:rsidRPr="00CC1034">
        <w:rPr>
          <w:rFonts w:ascii="Calibri" w:hAnsi="Calibri"/>
          <w:lang w:val="el-GR"/>
        </w:rPr>
        <w:t>Όπως προεκτέθηκε, ιδιαίτερη έμφαση θα δοθεί στο δίκαιο ανταγωνισμού, το οποίο μαζί με τις τέσσερις θεμελιώδεις ελευθερίες κίνησης συγκροτεί τον πυρήνα του οικονομικού δικαίου της Ένωσης ή άλλως του ενωσιακού «</w:t>
      </w:r>
      <w:r w:rsidR="00B540EF">
        <w:rPr>
          <w:rFonts w:ascii="Calibri" w:hAnsi="Calibri"/>
          <w:lang w:val="el-GR"/>
        </w:rPr>
        <w:t>οικονομικού Σ</w:t>
      </w:r>
      <w:r w:rsidRPr="00CC1034">
        <w:rPr>
          <w:rFonts w:ascii="Calibri" w:hAnsi="Calibri"/>
          <w:lang w:val="el-GR"/>
        </w:rPr>
        <w:t xml:space="preserve">υντάγματος». Σε ό,τι αφορά τη </w:t>
      </w:r>
      <w:r w:rsidR="00B540EF" w:rsidRPr="00CC1034">
        <w:rPr>
          <w:rFonts w:ascii="Calibri" w:hAnsi="Calibri"/>
          <w:lang w:val="el-GR"/>
        </w:rPr>
        <w:t>μεθοδολογία</w:t>
      </w:r>
      <w:r w:rsidRPr="00CC1034">
        <w:rPr>
          <w:rFonts w:ascii="Calibri" w:hAnsi="Calibri"/>
          <w:lang w:val="el-GR"/>
        </w:rPr>
        <w:t xml:space="preserve">, όλες οι θεματικές περιστρέφονται γύρω από το ισχύον, θετικό δίκαιο, αφού προηγηθεί μια επισκόπηση της πολιτικής της Ένωσης στο συγκεκριμένο </w:t>
      </w:r>
      <w:r w:rsidR="00B540EF">
        <w:rPr>
          <w:rFonts w:ascii="Calibri" w:hAnsi="Calibri"/>
          <w:lang w:val="el-GR"/>
        </w:rPr>
        <w:t>πεδίο, πάντοτε υπό το πρίσμα του στόχου της</w:t>
      </w:r>
      <w:r w:rsidRPr="00CC1034">
        <w:rPr>
          <w:rFonts w:ascii="Calibri" w:hAnsi="Calibri"/>
          <w:lang w:val="el-GR"/>
        </w:rPr>
        <w:t xml:space="preserve"> οικονομικής ενοποίησης και ολοκλήρωσης της εσωτερικής αγοράς. Η περιοδολόγηση στα προδιαληφθέντα μέρη, ενότητες και υποενότητες διανθίζεται με αναφορές στη βασική νομολογία των ενωσιακών δικαστηρίων και θα συνοδευτεί με διαφάνειες, ειδικά για το πλέον σημαντικό, </w:t>
      </w:r>
      <w:r w:rsidR="00B540EF">
        <w:rPr>
          <w:rFonts w:ascii="Calibri" w:hAnsi="Calibri"/>
          <w:lang w:val="el-GR"/>
        </w:rPr>
        <w:t xml:space="preserve">πέμπτο </w:t>
      </w:r>
      <w:r w:rsidRPr="00CC1034">
        <w:rPr>
          <w:rFonts w:ascii="Calibri" w:hAnsi="Calibri"/>
          <w:lang w:val="el-GR"/>
        </w:rPr>
        <w:t xml:space="preserve">μέρος του μαθήματος. </w:t>
      </w:r>
    </w:p>
    <w:p w14:paraId="16B1C2B2" w14:textId="77777777" w:rsidR="002674B8" w:rsidRPr="00CC1034" w:rsidRDefault="002674B8" w:rsidP="00760274">
      <w:pPr>
        <w:jc w:val="center"/>
        <w:rPr>
          <w:lang w:val="el-GR"/>
        </w:rPr>
      </w:pPr>
    </w:p>
    <w:p w14:paraId="66B6AE8C" w14:textId="77777777" w:rsidR="00BD5C9E" w:rsidRPr="00B540EF" w:rsidRDefault="00BD5C9E" w:rsidP="002F233B">
      <w:pPr>
        <w:pStyle w:val="Heading1"/>
        <w:jc w:val="center"/>
        <w:rPr>
          <w:color w:val="1F497D" w:themeColor="text2"/>
          <w:lang w:val="el-GR"/>
        </w:rPr>
      </w:pPr>
      <w:r w:rsidRPr="00B540EF">
        <w:rPr>
          <w:color w:val="1F497D" w:themeColor="text2"/>
          <w:lang w:val="el-GR"/>
        </w:rPr>
        <w:lastRenderedPageBreak/>
        <w:t>Ι. Εισαγωγή</w:t>
      </w:r>
    </w:p>
    <w:p w14:paraId="09531797" w14:textId="77777777" w:rsidR="00BD5C9E" w:rsidRPr="00CC1034" w:rsidRDefault="00BD5C9E" w:rsidP="00BD5C9E">
      <w:pPr>
        <w:pStyle w:val="Heading2"/>
        <w:rPr>
          <w:color w:val="auto"/>
          <w:lang w:val="el-GR"/>
        </w:rPr>
      </w:pPr>
      <w:r w:rsidRPr="00CC1034">
        <w:rPr>
          <w:color w:val="auto"/>
          <w:lang w:val="el-GR"/>
        </w:rPr>
        <w:t>Α. Η Ευρωπαϊκή Ένωση</w:t>
      </w:r>
    </w:p>
    <w:p w14:paraId="53BCB074" w14:textId="77777777" w:rsidR="00BD5C9E" w:rsidRPr="00CC1034" w:rsidRDefault="00BD5C9E" w:rsidP="00BD5C9E">
      <w:pPr>
        <w:pStyle w:val="Heading2"/>
        <w:rPr>
          <w:color w:val="auto"/>
          <w:lang w:val="el-GR"/>
        </w:rPr>
      </w:pPr>
      <w:r w:rsidRPr="00CC1034">
        <w:rPr>
          <w:color w:val="auto"/>
          <w:lang w:val="fr-BE"/>
        </w:rPr>
        <w:t>B</w:t>
      </w:r>
      <w:r w:rsidRPr="00CC1034">
        <w:rPr>
          <w:color w:val="auto"/>
          <w:lang w:val="el-GR"/>
        </w:rPr>
        <w:t>. Η εσωτερική αγορά</w:t>
      </w:r>
    </w:p>
    <w:p w14:paraId="08CA3F9D" w14:textId="77777777" w:rsidR="00E63C85" w:rsidRPr="00CC1034" w:rsidRDefault="00BD5C9E" w:rsidP="00BD5C9E">
      <w:pPr>
        <w:pStyle w:val="Heading2"/>
        <w:rPr>
          <w:color w:val="auto"/>
          <w:lang w:val="el-GR"/>
        </w:rPr>
      </w:pPr>
      <w:r w:rsidRPr="00CC1034">
        <w:rPr>
          <w:color w:val="auto"/>
          <w:lang w:val="el-GR"/>
        </w:rPr>
        <w:t xml:space="preserve">Γ. </w:t>
      </w:r>
      <w:r w:rsidR="00E63C85" w:rsidRPr="00CC1034">
        <w:rPr>
          <w:color w:val="auto"/>
          <w:lang w:val="el-GR"/>
        </w:rPr>
        <w:t>Το οικονομικό Σύνταγμα της Ευρωπαϊκής Ένωσης</w:t>
      </w:r>
    </w:p>
    <w:p w14:paraId="51F72BF9" w14:textId="77777777" w:rsidR="00BD5C9E" w:rsidRPr="00CC1034" w:rsidRDefault="00E63C85" w:rsidP="00BD5C9E">
      <w:pPr>
        <w:pStyle w:val="Heading2"/>
        <w:rPr>
          <w:color w:val="auto"/>
          <w:lang w:val="el-GR"/>
        </w:rPr>
      </w:pPr>
      <w:r w:rsidRPr="00CC1034">
        <w:rPr>
          <w:color w:val="auto"/>
          <w:lang w:val="el-GR"/>
        </w:rPr>
        <w:t xml:space="preserve">Δ. </w:t>
      </w:r>
      <w:r w:rsidR="00BD5C9E" w:rsidRPr="00CC1034">
        <w:rPr>
          <w:color w:val="auto"/>
          <w:lang w:val="el-GR"/>
        </w:rPr>
        <w:t>Οι θεμελιώδεις ελευθερίες κίνησης</w:t>
      </w:r>
    </w:p>
    <w:p w14:paraId="19D4AF81" w14:textId="58F9762C" w:rsidR="00270311" w:rsidRPr="00CC1034" w:rsidRDefault="00270311" w:rsidP="00270311">
      <w:pPr>
        <w:pStyle w:val="Heading3"/>
        <w:ind w:firstLine="708"/>
        <w:rPr>
          <w:color w:val="auto"/>
          <w:lang w:val="el-GR"/>
        </w:rPr>
      </w:pPr>
      <w:r w:rsidRPr="00CC1034">
        <w:rPr>
          <w:color w:val="auto"/>
          <w:lang w:val="el-GR"/>
        </w:rPr>
        <w:t>1. Ελεύθερη κυκλοφορία εμπορευμάτων</w:t>
      </w:r>
    </w:p>
    <w:p w14:paraId="192856C4" w14:textId="05D77B64" w:rsidR="00270311" w:rsidRPr="00CC1034" w:rsidRDefault="00C30E59" w:rsidP="00270311">
      <w:pPr>
        <w:pStyle w:val="Heading3"/>
        <w:ind w:firstLine="708"/>
        <w:rPr>
          <w:color w:val="auto"/>
          <w:lang w:val="el-GR"/>
        </w:rPr>
      </w:pPr>
      <w:r w:rsidRPr="00CC1034">
        <w:rPr>
          <w:color w:val="auto"/>
          <w:lang w:val="el-GR"/>
        </w:rPr>
        <w:t>2. Ελεύθερη κυκλοφορία εργαζομένων – προσώπων</w:t>
      </w:r>
    </w:p>
    <w:p w14:paraId="47B2DD66" w14:textId="4720AAB3" w:rsidR="00270311" w:rsidRPr="00CC1034" w:rsidRDefault="00270311" w:rsidP="00270311">
      <w:pPr>
        <w:pStyle w:val="Heading3"/>
        <w:ind w:firstLine="708"/>
        <w:rPr>
          <w:color w:val="auto"/>
          <w:lang w:val="el-GR"/>
        </w:rPr>
      </w:pPr>
      <w:r w:rsidRPr="00CC1034">
        <w:rPr>
          <w:color w:val="auto"/>
          <w:lang w:val="el-GR"/>
        </w:rPr>
        <w:t xml:space="preserve">3. </w:t>
      </w:r>
      <w:r w:rsidR="00C30E59" w:rsidRPr="00CC1034">
        <w:rPr>
          <w:color w:val="auto"/>
          <w:lang w:val="el-GR"/>
        </w:rPr>
        <w:t>Ελεύθερη παροχή υπηρεσιών</w:t>
      </w:r>
    </w:p>
    <w:p w14:paraId="040B7416" w14:textId="5C8DF78D" w:rsidR="00270311" w:rsidRPr="00CC1034" w:rsidRDefault="00270311" w:rsidP="00270311">
      <w:pPr>
        <w:pStyle w:val="Heading3"/>
        <w:ind w:firstLine="708"/>
        <w:rPr>
          <w:color w:val="auto"/>
          <w:lang w:val="el-GR"/>
        </w:rPr>
      </w:pPr>
      <w:r w:rsidRPr="00CC1034">
        <w:rPr>
          <w:color w:val="auto"/>
          <w:lang w:val="el-GR"/>
        </w:rPr>
        <w:t>4. Ελεύθερη κυκλοφορία κεφαλαίων</w:t>
      </w:r>
    </w:p>
    <w:p w14:paraId="72909E4A" w14:textId="0F3E0D99" w:rsidR="0052190E" w:rsidRPr="00B540EF" w:rsidRDefault="00BD5C9E" w:rsidP="002F233B">
      <w:pPr>
        <w:pStyle w:val="Heading1"/>
        <w:spacing w:before="720"/>
        <w:jc w:val="center"/>
        <w:rPr>
          <w:color w:val="1F497D" w:themeColor="text2"/>
          <w:lang w:val="el-GR"/>
        </w:rPr>
      </w:pPr>
      <w:r w:rsidRPr="00B540EF">
        <w:rPr>
          <w:color w:val="1F497D" w:themeColor="text2"/>
          <w:lang w:val="el-GR"/>
        </w:rPr>
        <w:t xml:space="preserve">ΙΙ. </w:t>
      </w:r>
      <w:r w:rsidR="00F06E20" w:rsidRPr="00B540EF">
        <w:rPr>
          <w:color w:val="1F497D" w:themeColor="text2"/>
          <w:lang w:val="el-GR"/>
        </w:rPr>
        <w:t>Ε</w:t>
      </w:r>
      <w:r w:rsidR="002F233B" w:rsidRPr="00B540EF">
        <w:rPr>
          <w:color w:val="1F497D" w:themeColor="text2"/>
          <w:lang w:val="el-GR"/>
        </w:rPr>
        <w:t>νωσιακό</w:t>
      </w:r>
      <w:r w:rsidR="00F06E20" w:rsidRPr="00B540EF">
        <w:rPr>
          <w:color w:val="1F497D" w:themeColor="text2"/>
          <w:lang w:val="el-GR"/>
        </w:rPr>
        <w:t xml:space="preserve"> εταιρικό δίκαιο</w:t>
      </w:r>
    </w:p>
    <w:p w14:paraId="311579DD" w14:textId="77777777" w:rsidR="006E5C5B" w:rsidRPr="00CC1034" w:rsidRDefault="00C4717F" w:rsidP="0052190E">
      <w:pPr>
        <w:pStyle w:val="Heading2"/>
        <w:rPr>
          <w:color w:val="auto"/>
          <w:lang w:val="el-GR"/>
        </w:rPr>
      </w:pPr>
      <w:r w:rsidRPr="00CC1034">
        <w:rPr>
          <w:color w:val="auto"/>
          <w:lang w:val="fr-BE"/>
        </w:rPr>
        <w:t>A</w:t>
      </w:r>
      <w:r w:rsidRPr="00CC1034">
        <w:rPr>
          <w:color w:val="auto"/>
          <w:lang w:val="el-GR"/>
        </w:rPr>
        <w:t xml:space="preserve">. </w:t>
      </w:r>
      <w:r w:rsidR="006E5C5B" w:rsidRPr="00CC1034">
        <w:rPr>
          <w:color w:val="auto"/>
          <w:lang w:val="el-GR"/>
        </w:rPr>
        <w:t xml:space="preserve">Εισαγωγικά </w:t>
      </w:r>
    </w:p>
    <w:p w14:paraId="1FF0EC3A" w14:textId="16EB4F18" w:rsidR="00C4717F" w:rsidRPr="00CC1034" w:rsidRDefault="006E5C5B" w:rsidP="006E5C5B">
      <w:pPr>
        <w:pStyle w:val="Heading3"/>
        <w:ind w:firstLine="708"/>
        <w:rPr>
          <w:color w:val="auto"/>
          <w:lang w:val="el-GR"/>
        </w:rPr>
      </w:pPr>
      <w:r w:rsidRPr="00CC1034">
        <w:rPr>
          <w:color w:val="auto"/>
          <w:lang w:val="el-GR"/>
        </w:rPr>
        <w:t xml:space="preserve">1. Στόχοι του </w:t>
      </w:r>
      <w:r w:rsidR="002F233B" w:rsidRPr="00CC1034">
        <w:rPr>
          <w:color w:val="auto"/>
          <w:lang w:val="el-GR"/>
        </w:rPr>
        <w:t>ενωσιακού</w:t>
      </w:r>
      <w:r w:rsidRPr="00CC1034">
        <w:rPr>
          <w:color w:val="auto"/>
          <w:lang w:val="el-GR"/>
        </w:rPr>
        <w:t xml:space="preserve"> εταιρικού δικαίου</w:t>
      </w:r>
    </w:p>
    <w:p w14:paraId="78A337D8" w14:textId="65DCDE29" w:rsidR="006E5C5B" w:rsidRPr="00CC1034" w:rsidRDefault="006E5C5B" w:rsidP="006E5C5B">
      <w:pPr>
        <w:pStyle w:val="Heading3"/>
        <w:ind w:firstLine="708"/>
        <w:rPr>
          <w:color w:val="auto"/>
          <w:lang w:val="el-GR"/>
        </w:rPr>
      </w:pPr>
      <w:r w:rsidRPr="00CC1034">
        <w:rPr>
          <w:color w:val="auto"/>
          <w:lang w:val="el-GR"/>
        </w:rPr>
        <w:t xml:space="preserve">2. Πηγές του </w:t>
      </w:r>
      <w:r w:rsidR="002F233B" w:rsidRPr="00CC1034">
        <w:rPr>
          <w:color w:val="auto"/>
          <w:lang w:val="el-GR"/>
        </w:rPr>
        <w:t xml:space="preserve">ενωσιακού </w:t>
      </w:r>
      <w:r w:rsidRPr="00CC1034">
        <w:rPr>
          <w:color w:val="auto"/>
          <w:lang w:val="el-GR"/>
        </w:rPr>
        <w:t>εταιρικού δικαίου</w:t>
      </w:r>
    </w:p>
    <w:p w14:paraId="41CDA168" w14:textId="77777777" w:rsidR="002F233B" w:rsidRPr="00CC1034" w:rsidRDefault="002F233B" w:rsidP="002F233B">
      <w:pPr>
        <w:rPr>
          <w:lang w:val="el-GR"/>
        </w:rPr>
      </w:pPr>
    </w:p>
    <w:p w14:paraId="28A26450" w14:textId="7DA549FE" w:rsidR="0052190E" w:rsidRPr="00CC1034" w:rsidRDefault="00C4717F" w:rsidP="0052190E">
      <w:pPr>
        <w:pStyle w:val="Heading2"/>
        <w:rPr>
          <w:color w:val="auto"/>
          <w:lang w:val="el-GR"/>
        </w:rPr>
      </w:pPr>
      <w:r w:rsidRPr="00CC1034">
        <w:rPr>
          <w:color w:val="auto"/>
          <w:lang w:val="fr-BE"/>
        </w:rPr>
        <w:t>B</w:t>
      </w:r>
      <w:r w:rsidR="00BD5C9E" w:rsidRPr="00CC1034">
        <w:rPr>
          <w:color w:val="auto"/>
          <w:lang w:val="el-GR"/>
        </w:rPr>
        <w:t xml:space="preserve">. Η σχέση του </w:t>
      </w:r>
      <w:r w:rsidR="002F233B" w:rsidRPr="00CC1034">
        <w:rPr>
          <w:color w:val="auto"/>
          <w:lang w:val="el-GR"/>
        </w:rPr>
        <w:t xml:space="preserve">ενωσιακού </w:t>
      </w:r>
      <w:r w:rsidR="00BD5C9E" w:rsidRPr="00CC1034">
        <w:rPr>
          <w:color w:val="auto"/>
          <w:lang w:val="el-GR"/>
        </w:rPr>
        <w:t>εταιρικού δικαίου με την ελευθερία εγκατάστασης</w:t>
      </w:r>
    </w:p>
    <w:p w14:paraId="78EF1ADD" w14:textId="77777777" w:rsidR="006E5C5B" w:rsidRPr="00CC1034" w:rsidRDefault="006E5C5B" w:rsidP="006E5C5B">
      <w:pPr>
        <w:pStyle w:val="Heading3"/>
        <w:ind w:left="708"/>
        <w:rPr>
          <w:color w:val="auto"/>
          <w:lang w:val="el-GR"/>
        </w:rPr>
      </w:pPr>
      <w:r w:rsidRPr="00CC1034">
        <w:rPr>
          <w:color w:val="auto"/>
          <w:lang w:val="el-GR"/>
        </w:rPr>
        <w:t xml:space="preserve">1. </w:t>
      </w:r>
      <w:r w:rsidRPr="00CC1034">
        <w:rPr>
          <w:rFonts w:eastAsia="Times New Roman" w:cstheme="majorHAnsi"/>
          <w:color w:val="auto"/>
          <w:lang w:val="el-GR" w:eastAsia="en-GB"/>
        </w:rPr>
        <w:t>Η θεωρία της καταστατικής και της πραγματικής έδρας ως προς το εφαρμοστέο δίκαιο</w:t>
      </w:r>
    </w:p>
    <w:p w14:paraId="07E68D45" w14:textId="77777777" w:rsidR="00BD5C9E" w:rsidRPr="00CC1034" w:rsidRDefault="006E5C5B" w:rsidP="006E5C5B">
      <w:pPr>
        <w:pStyle w:val="Heading3"/>
        <w:ind w:firstLine="708"/>
        <w:rPr>
          <w:color w:val="auto"/>
          <w:lang w:val="el-GR"/>
        </w:rPr>
      </w:pPr>
      <w:r w:rsidRPr="00CC1034">
        <w:rPr>
          <w:color w:val="auto"/>
          <w:lang w:val="el-GR"/>
        </w:rPr>
        <w:t>2</w:t>
      </w:r>
      <w:r w:rsidR="00BD5C9E" w:rsidRPr="00CC1034">
        <w:rPr>
          <w:color w:val="auto"/>
          <w:lang w:val="el-GR"/>
        </w:rPr>
        <w:t>. Πραγματικό και προϋποθέσεις ελευθερίας εγκατάστασης</w:t>
      </w:r>
    </w:p>
    <w:p w14:paraId="32C642A5" w14:textId="78A6AFD1" w:rsidR="0052190E" w:rsidRPr="00CC1034" w:rsidRDefault="002F233B" w:rsidP="004177D1">
      <w:pPr>
        <w:pStyle w:val="Heading3"/>
        <w:ind w:left="709"/>
        <w:rPr>
          <w:b w:val="0"/>
          <w:color w:val="auto"/>
          <w:lang w:val="el-GR"/>
        </w:rPr>
      </w:pPr>
      <w:r w:rsidRPr="00CC1034">
        <w:rPr>
          <w:color w:val="auto"/>
          <w:lang w:val="el-GR"/>
        </w:rPr>
        <w:t>3</w:t>
      </w:r>
      <w:r w:rsidR="00BD5C9E" w:rsidRPr="00CC1034">
        <w:rPr>
          <w:color w:val="auto"/>
          <w:lang w:val="el-GR"/>
        </w:rPr>
        <w:t xml:space="preserve">. Η νομολογία του ΔΕΕ </w:t>
      </w:r>
      <w:r w:rsidR="00BD5C9E" w:rsidRPr="00CC1034">
        <w:rPr>
          <w:b w:val="0"/>
          <w:color w:val="auto"/>
          <w:lang w:val="el-GR"/>
        </w:rPr>
        <w:t>(</w:t>
      </w:r>
      <w:r w:rsidR="00BD5C9E" w:rsidRPr="00CC1034">
        <w:rPr>
          <w:b w:val="0"/>
          <w:color w:val="auto"/>
          <w:lang w:val="en-GB"/>
        </w:rPr>
        <w:t>Daily</w:t>
      </w:r>
      <w:r w:rsidR="00BD5C9E" w:rsidRPr="00CC1034">
        <w:rPr>
          <w:b w:val="0"/>
          <w:color w:val="auto"/>
          <w:lang w:val="el-GR"/>
        </w:rPr>
        <w:t xml:space="preserve"> </w:t>
      </w:r>
      <w:r w:rsidR="00BD5C9E" w:rsidRPr="00CC1034">
        <w:rPr>
          <w:b w:val="0"/>
          <w:color w:val="auto"/>
          <w:lang w:val="en-GB"/>
        </w:rPr>
        <w:t>Mail</w:t>
      </w:r>
      <w:r w:rsidR="00BD5C9E" w:rsidRPr="00CC1034">
        <w:rPr>
          <w:b w:val="0"/>
          <w:color w:val="auto"/>
          <w:lang w:val="el-GR"/>
        </w:rPr>
        <w:t xml:space="preserve"> 81/87, </w:t>
      </w:r>
      <w:r w:rsidR="00BD5C9E" w:rsidRPr="00CC1034">
        <w:rPr>
          <w:b w:val="0"/>
          <w:color w:val="auto"/>
          <w:lang w:val="en-GB"/>
        </w:rPr>
        <w:t>Centros</w:t>
      </w:r>
      <w:r w:rsidR="00BD5C9E" w:rsidRPr="00CC1034">
        <w:rPr>
          <w:b w:val="0"/>
          <w:color w:val="auto"/>
          <w:lang w:val="el-GR"/>
        </w:rPr>
        <w:t xml:space="preserve"> </w:t>
      </w:r>
      <w:r w:rsidR="00BD5C9E" w:rsidRPr="00CC1034">
        <w:rPr>
          <w:b w:val="0"/>
          <w:color w:val="auto"/>
          <w:lang w:val="en-GB"/>
        </w:rPr>
        <w:t>C</w:t>
      </w:r>
      <w:r w:rsidR="00BD5C9E" w:rsidRPr="00CC1034">
        <w:rPr>
          <w:b w:val="0"/>
          <w:color w:val="auto"/>
          <w:lang w:val="el-GR"/>
        </w:rPr>
        <w:t xml:space="preserve">-212/97, </w:t>
      </w:r>
      <w:r w:rsidR="00BD5C9E" w:rsidRPr="00CC1034">
        <w:rPr>
          <w:b w:val="0"/>
          <w:color w:val="auto"/>
          <w:lang w:val="en-GB"/>
        </w:rPr>
        <w:t>Uberseering</w:t>
      </w:r>
      <w:r w:rsidR="00BD5C9E" w:rsidRPr="00CC1034">
        <w:rPr>
          <w:b w:val="0"/>
          <w:color w:val="auto"/>
          <w:lang w:val="el-GR"/>
        </w:rPr>
        <w:t xml:space="preserve"> </w:t>
      </w:r>
      <w:r w:rsidR="00BD5C9E" w:rsidRPr="00CC1034">
        <w:rPr>
          <w:b w:val="0"/>
          <w:color w:val="auto"/>
          <w:lang w:val="en-GB"/>
        </w:rPr>
        <w:t>C</w:t>
      </w:r>
      <w:r w:rsidR="00BD5C9E" w:rsidRPr="00CC1034">
        <w:rPr>
          <w:b w:val="0"/>
          <w:color w:val="auto"/>
          <w:lang w:val="el-GR"/>
        </w:rPr>
        <w:t xml:space="preserve">-208/00, </w:t>
      </w:r>
      <w:r w:rsidR="00BD5C9E" w:rsidRPr="00CC1034">
        <w:rPr>
          <w:b w:val="0"/>
          <w:color w:val="auto"/>
          <w:lang w:val="en-GB"/>
        </w:rPr>
        <w:t>Inspire</w:t>
      </w:r>
      <w:r w:rsidR="00BD5C9E" w:rsidRPr="00CC1034">
        <w:rPr>
          <w:b w:val="0"/>
          <w:color w:val="auto"/>
          <w:lang w:val="el-GR"/>
        </w:rPr>
        <w:t xml:space="preserve"> </w:t>
      </w:r>
      <w:r w:rsidR="00BD5C9E" w:rsidRPr="00CC1034">
        <w:rPr>
          <w:b w:val="0"/>
          <w:color w:val="auto"/>
          <w:lang w:val="en-GB"/>
        </w:rPr>
        <w:t>Art</w:t>
      </w:r>
      <w:r w:rsidR="00BD5C9E" w:rsidRPr="00CC1034">
        <w:rPr>
          <w:b w:val="0"/>
          <w:color w:val="auto"/>
          <w:lang w:val="el-GR"/>
        </w:rPr>
        <w:t xml:space="preserve"> </w:t>
      </w:r>
      <w:r w:rsidR="00BD5C9E" w:rsidRPr="00CC1034">
        <w:rPr>
          <w:b w:val="0"/>
          <w:color w:val="auto"/>
          <w:lang w:val="en-GB"/>
        </w:rPr>
        <w:t>C</w:t>
      </w:r>
      <w:r w:rsidR="00BD5C9E" w:rsidRPr="00CC1034">
        <w:rPr>
          <w:b w:val="0"/>
          <w:color w:val="auto"/>
          <w:lang w:val="el-GR"/>
        </w:rPr>
        <w:t xml:space="preserve">-167/01, </w:t>
      </w:r>
      <w:r w:rsidR="00BD5C9E" w:rsidRPr="00CC1034">
        <w:rPr>
          <w:b w:val="0"/>
          <w:color w:val="auto"/>
          <w:lang w:val="fr-BE"/>
        </w:rPr>
        <w:t>Sevic</w:t>
      </w:r>
      <w:r w:rsidR="00BD5C9E" w:rsidRPr="00CC1034">
        <w:rPr>
          <w:b w:val="0"/>
          <w:color w:val="auto"/>
          <w:lang w:val="el-GR"/>
        </w:rPr>
        <w:t xml:space="preserve"> </w:t>
      </w:r>
      <w:r w:rsidR="00BD5C9E" w:rsidRPr="00CC1034">
        <w:rPr>
          <w:b w:val="0"/>
          <w:color w:val="auto"/>
          <w:lang w:val="fr-BE"/>
        </w:rPr>
        <w:t>Systems</w:t>
      </w:r>
      <w:r w:rsidR="00BD5C9E" w:rsidRPr="00CC1034">
        <w:rPr>
          <w:b w:val="0"/>
          <w:color w:val="auto"/>
          <w:lang w:val="el-GR"/>
        </w:rPr>
        <w:t xml:space="preserve"> </w:t>
      </w:r>
      <w:r w:rsidR="00BD5C9E" w:rsidRPr="00CC1034">
        <w:rPr>
          <w:b w:val="0"/>
          <w:color w:val="auto"/>
          <w:lang w:val="fr-BE"/>
        </w:rPr>
        <w:t>C</w:t>
      </w:r>
      <w:r w:rsidR="00C4717F" w:rsidRPr="00CC1034">
        <w:rPr>
          <w:b w:val="0"/>
          <w:color w:val="auto"/>
          <w:lang w:val="el-GR"/>
        </w:rPr>
        <w:t>-411/03,</w:t>
      </w:r>
      <w:r w:rsidR="00BD5C9E" w:rsidRPr="00CC1034">
        <w:rPr>
          <w:b w:val="0"/>
          <w:color w:val="auto"/>
          <w:lang w:val="el-GR"/>
        </w:rPr>
        <w:t xml:space="preserve"> </w:t>
      </w:r>
      <w:r w:rsidR="00BD5C9E" w:rsidRPr="00CC1034">
        <w:rPr>
          <w:b w:val="0"/>
          <w:color w:val="auto"/>
          <w:lang w:val="en-GB"/>
        </w:rPr>
        <w:t>Cartesio</w:t>
      </w:r>
      <w:r w:rsidR="00BD5C9E" w:rsidRPr="00CC1034">
        <w:rPr>
          <w:b w:val="0"/>
          <w:color w:val="auto"/>
          <w:lang w:val="el-GR"/>
        </w:rPr>
        <w:t xml:space="preserve"> </w:t>
      </w:r>
      <w:r w:rsidR="00BD5C9E" w:rsidRPr="00CC1034">
        <w:rPr>
          <w:b w:val="0"/>
          <w:color w:val="auto"/>
          <w:lang w:val="en-GB"/>
        </w:rPr>
        <w:t>C</w:t>
      </w:r>
      <w:r w:rsidR="00BD5C9E" w:rsidRPr="00CC1034">
        <w:rPr>
          <w:b w:val="0"/>
          <w:color w:val="auto"/>
          <w:lang w:val="el-GR"/>
        </w:rPr>
        <w:t>-</w:t>
      </w:r>
      <w:r w:rsidR="00DC00A6" w:rsidRPr="00CC1034">
        <w:rPr>
          <w:b w:val="0"/>
          <w:color w:val="auto"/>
          <w:lang w:val="el-GR"/>
        </w:rPr>
        <w:t>210/06</w:t>
      </w:r>
      <w:r w:rsidR="00C4717F" w:rsidRPr="00CC1034">
        <w:rPr>
          <w:b w:val="0"/>
          <w:color w:val="auto"/>
          <w:lang w:val="el-GR"/>
        </w:rPr>
        <w:t>,</w:t>
      </w:r>
      <w:r w:rsidR="00BD5C9E" w:rsidRPr="00CC1034">
        <w:rPr>
          <w:b w:val="0"/>
          <w:color w:val="auto"/>
          <w:lang w:val="el-GR"/>
        </w:rPr>
        <w:t xml:space="preserve"> </w:t>
      </w:r>
      <w:r w:rsidR="00BD5C9E" w:rsidRPr="00CC1034">
        <w:rPr>
          <w:b w:val="0"/>
          <w:color w:val="auto"/>
          <w:lang w:val="en-GB"/>
        </w:rPr>
        <w:t>Vale</w:t>
      </w:r>
      <w:r w:rsidR="00C4717F" w:rsidRPr="00CC1034">
        <w:rPr>
          <w:b w:val="0"/>
          <w:color w:val="auto"/>
          <w:lang w:val="el-GR"/>
        </w:rPr>
        <w:t xml:space="preserve"> </w:t>
      </w:r>
      <w:r w:rsidR="00C4717F" w:rsidRPr="00CC1034">
        <w:rPr>
          <w:b w:val="0"/>
          <w:color w:val="auto"/>
          <w:lang w:val="en-GB"/>
        </w:rPr>
        <w:t>C</w:t>
      </w:r>
      <w:r w:rsidR="00C4717F" w:rsidRPr="00CC1034">
        <w:rPr>
          <w:b w:val="0"/>
          <w:color w:val="auto"/>
          <w:lang w:val="el-GR"/>
        </w:rPr>
        <w:t>-</w:t>
      </w:r>
      <w:r w:rsidR="00DC00A6" w:rsidRPr="00CC1034">
        <w:rPr>
          <w:b w:val="0"/>
          <w:color w:val="auto"/>
          <w:lang w:val="el-GR"/>
        </w:rPr>
        <w:t>378/10,</w:t>
      </w:r>
      <w:r w:rsidR="00C4717F" w:rsidRPr="00CC1034">
        <w:rPr>
          <w:b w:val="0"/>
          <w:color w:val="auto"/>
          <w:lang w:val="el-GR"/>
        </w:rPr>
        <w:t xml:space="preserve"> </w:t>
      </w:r>
      <w:r w:rsidR="00BD5C9E" w:rsidRPr="00CC1034">
        <w:rPr>
          <w:b w:val="0"/>
          <w:color w:val="auto"/>
          <w:lang w:val="el-GR"/>
        </w:rPr>
        <w:t xml:space="preserve"> Ίδρυμα Τύπου</w:t>
      </w:r>
      <w:r w:rsidR="00C4717F" w:rsidRPr="00CC1034">
        <w:rPr>
          <w:b w:val="0"/>
          <w:color w:val="auto"/>
          <w:lang w:val="el-GR"/>
        </w:rPr>
        <w:t xml:space="preserve"> </w:t>
      </w:r>
      <w:r w:rsidR="00C4717F" w:rsidRPr="00CC1034">
        <w:rPr>
          <w:b w:val="0"/>
          <w:color w:val="auto"/>
          <w:lang w:val="fr-BE"/>
        </w:rPr>
        <w:t>C</w:t>
      </w:r>
      <w:r w:rsidR="00C4717F" w:rsidRPr="00CC1034">
        <w:rPr>
          <w:b w:val="0"/>
          <w:color w:val="auto"/>
          <w:lang w:val="el-GR"/>
        </w:rPr>
        <w:t>-</w:t>
      </w:r>
      <w:r w:rsidR="00DC00A6" w:rsidRPr="00CC1034">
        <w:rPr>
          <w:b w:val="0"/>
          <w:color w:val="auto"/>
          <w:lang w:val="el-GR"/>
        </w:rPr>
        <w:t xml:space="preserve"> 81/09</w:t>
      </w:r>
      <w:r w:rsidR="00BD5C9E" w:rsidRPr="00CC1034">
        <w:rPr>
          <w:b w:val="0"/>
          <w:color w:val="auto"/>
          <w:lang w:val="el-GR"/>
        </w:rPr>
        <w:t xml:space="preserve">) </w:t>
      </w:r>
    </w:p>
    <w:p w14:paraId="08B5F1A5" w14:textId="77777777" w:rsidR="002F233B" w:rsidRPr="00CC1034" w:rsidRDefault="002F233B" w:rsidP="002F233B">
      <w:pPr>
        <w:rPr>
          <w:lang w:val="el-GR"/>
        </w:rPr>
      </w:pPr>
    </w:p>
    <w:p w14:paraId="7AF77EB7" w14:textId="190DCF12" w:rsidR="0052190E" w:rsidRPr="00CC1034" w:rsidRDefault="002F233B" w:rsidP="006E5C5B">
      <w:pPr>
        <w:pStyle w:val="Heading3"/>
        <w:rPr>
          <w:color w:val="auto"/>
          <w:sz w:val="26"/>
          <w:szCs w:val="26"/>
          <w:lang w:val="el-GR"/>
        </w:rPr>
      </w:pPr>
      <w:r w:rsidRPr="00CC1034">
        <w:rPr>
          <w:color w:val="auto"/>
          <w:sz w:val="26"/>
          <w:szCs w:val="26"/>
          <w:lang w:val="el-GR"/>
        </w:rPr>
        <w:t xml:space="preserve">Γ. Βασικοί άξονες του </w:t>
      </w:r>
      <w:r w:rsidRPr="00CC1034">
        <w:rPr>
          <w:color w:val="auto"/>
          <w:lang w:val="el-GR"/>
        </w:rPr>
        <w:t>ενωσιακού</w:t>
      </w:r>
      <w:r w:rsidR="00C46241" w:rsidRPr="00CC1034">
        <w:rPr>
          <w:color w:val="auto"/>
          <w:sz w:val="26"/>
          <w:szCs w:val="26"/>
          <w:lang w:val="el-GR"/>
        </w:rPr>
        <w:t xml:space="preserve"> εταιρικού δικαίου</w:t>
      </w:r>
    </w:p>
    <w:p w14:paraId="40CE62F5" w14:textId="3E3F2D6D" w:rsidR="00C46241" w:rsidRPr="00CC1034" w:rsidRDefault="0096397B" w:rsidP="00904A23">
      <w:pPr>
        <w:pStyle w:val="Heading3"/>
        <w:ind w:firstLine="708"/>
        <w:rPr>
          <w:color w:val="auto"/>
          <w:lang w:val="el-GR"/>
        </w:rPr>
      </w:pPr>
      <w:r w:rsidRPr="00CC1034">
        <w:rPr>
          <w:color w:val="auto"/>
          <w:lang w:val="el-GR"/>
        </w:rPr>
        <w:t>1. Η διαμόρφωση ενός πλέγματος ελαχίστων κοινών υποχρεώσεων</w:t>
      </w:r>
    </w:p>
    <w:p w14:paraId="48B7279F" w14:textId="5188CE2A" w:rsidR="00305C0A" w:rsidRPr="00CC1034" w:rsidRDefault="00305C0A" w:rsidP="00305C0A">
      <w:pPr>
        <w:pStyle w:val="Heading4"/>
        <w:rPr>
          <w:color w:val="auto"/>
          <w:lang w:val="el-GR"/>
        </w:rPr>
      </w:pPr>
      <w:r w:rsidRPr="00CC1034">
        <w:rPr>
          <w:color w:val="auto"/>
          <w:lang w:val="el-GR"/>
        </w:rPr>
        <w:tab/>
      </w:r>
      <w:r w:rsidR="0048579D" w:rsidRPr="00CC1034">
        <w:rPr>
          <w:color w:val="auto"/>
          <w:lang w:val="el-GR"/>
        </w:rPr>
        <w:tab/>
      </w:r>
      <w:r w:rsidRPr="00CC1034">
        <w:rPr>
          <w:color w:val="auto"/>
          <w:lang w:val="el-GR"/>
        </w:rPr>
        <w:t>α. Διατυπώσεις δημοσιότητας</w:t>
      </w:r>
      <w:r w:rsidR="000E2594" w:rsidRPr="00CC1034">
        <w:rPr>
          <w:color w:val="auto"/>
          <w:lang w:val="el-GR"/>
        </w:rPr>
        <w:t xml:space="preserve"> </w:t>
      </w:r>
      <w:r w:rsidR="000E2594" w:rsidRPr="00CC1034">
        <w:rPr>
          <w:b w:val="0"/>
          <w:color w:val="auto"/>
          <w:lang w:val="el-GR"/>
        </w:rPr>
        <w:t>(</w:t>
      </w:r>
      <w:r w:rsidR="00A53476" w:rsidRPr="00CC1034">
        <w:rPr>
          <w:b w:val="0"/>
          <w:color w:val="auto"/>
          <w:lang w:val="el-GR"/>
        </w:rPr>
        <w:t>Ο</w:t>
      </w:r>
      <w:r w:rsidR="001F4595" w:rsidRPr="00CC1034">
        <w:rPr>
          <w:b w:val="0"/>
          <w:color w:val="auto"/>
          <w:lang w:val="el-GR"/>
        </w:rPr>
        <w:t>δηγία 2009/101</w:t>
      </w:r>
      <w:r w:rsidR="000E2594" w:rsidRPr="00CC1034">
        <w:rPr>
          <w:b w:val="0"/>
          <w:color w:val="auto"/>
          <w:lang w:val="el-GR"/>
        </w:rPr>
        <w:t>)</w:t>
      </w:r>
    </w:p>
    <w:p w14:paraId="3577D7B4" w14:textId="04C3E31E" w:rsidR="00305C0A" w:rsidRPr="00CC1034" w:rsidRDefault="00305C0A" w:rsidP="00305C0A">
      <w:pPr>
        <w:pStyle w:val="Heading4"/>
        <w:rPr>
          <w:b w:val="0"/>
          <w:color w:val="auto"/>
          <w:lang w:val="el-GR"/>
        </w:rPr>
      </w:pPr>
      <w:r w:rsidRPr="00CC1034">
        <w:rPr>
          <w:color w:val="auto"/>
          <w:lang w:val="el-GR"/>
        </w:rPr>
        <w:tab/>
      </w:r>
      <w:r w:rsidR="0048579D" w:rsidRPr="00CC1034">
        <w:rPr>
          <w:color w:val="auto"/>
          <w:lang w:val="el-GR"/>
        </w:rPr>
        <w:tab/>
      </w:r>
      <w:r w:rsidRPr="00CC1034">
        <w:rPr>
          <w:color w:val="auto"/>
          <w:lang w:val="el-GR"/>
        </w:rPr>
        <w:t xml:space="preserve">β. </w:t>
      </w:r>
      <w:r w:rsidR="00CC1034">
        <w:rPr>
          <w:color w:val="auto"/>
          <w:lang w:val="el-GR"/>
        </w:rPr>
        <w:t>Απαιτήσεις π</w:t>
      </w:r>
      <w:r w:rsidR="001F4595" w:rsidRPr="00CC1034">
        <w:rPr>
          <w:color w:val="auto"/>
          <w:lang w:val="el-GR"/>
        </w:rPr>
        <w:t>ερί κ</w:t>
      </w:r>
      <w:r w:rsidRPr="00CC1034">
        <w:rPr>
          <w:color w:val="auto"/>
          <w:lang w:val="el-GR"/>
        </w:rPr>
        <w:t>εφαλα</w:t>
      </w:r>
      <w:r w:rsidR="001F4595" w:rsidRPr="00CC1034">
        <w:rPr>
          <w:color w:val="auto"/>
          <w:lang w:val="el-GR"/>
        </w:rPr>
        <w:t xml:space="preserve">ίου </w:t>
      </w:r>
      <w:r w:rsidR="00A53476" w:rsidRPr="00CC1034">
        <w:rPr>
          <w:b w:val="0"/>
          <w:color w:val="auto"/>
          <w:lang w:val="el-GR"/>
        </w:rPr>
        <w:t>(Ο</w:t>
      </w:r>
      <w:r w:rsidR="001F4595" w:rsidRPr="00CC1034">
        <w:rPr>
          <w:b w:val="0"/>
          <w:color w:val="auto"/>
          <w:lang w:val="el-GR"/>
        </w:rPr>
        <w:t>δηγίες 2012/30, 2009/102)</w:t>
      </w:r>
    </w:p>
    <w:p w14:paraId="519ADF2B" w14:textId="0A67134B" w:rsidR="00305C0A" w:rsidRPr="00CC1034" w:rsidRDefault="00305C0A" w:rsidP="00305C0A">
      <w:pPr>
        <w:pStyle w:val="Heading4"/>
        <w:rPr>
          <w:color w:val="auto"/>
          <w:lang w:val="el-GR"/>
        </w:rPr>
      </w:pPr>
      <w:r w:rsidRPr="00CC1034">
        <w:rPr>
          <w:color w:val="auto"/>
          <w:lang w:val="el-GR"/>
        </w:rPr>
        <w:tab/>
      </w:r>
      <w:r w:rsidR="0048579D" w:rsidRPr="00CC1034">
        <w:rPr>
          <w:color w:val="auto"/>
          <w:lang w:val="el-GR"/>
        </w:rPr>
        <w:tab/>
      </w:r>
      <w:r w:rsidRPr="00CC1034">
        <w:rPr>
          <w:color w:val="auto"/>
          <w:lang w:val="el-GR"/>
        </w:rPr>
        <w:t>γ. Άσκηση δραστηριότητας σε περισσότερα κράτη μέλη</w:t>
      </w:r>
    </w:p>
    <w:p w14:paraId="3D70591A" w14:textId="2F5BE5F6" w:rsidR="000E2594" w:rsidRPr="00CC1034" w:rsidRDefault="00305C0A" w:rsidP="000E2594">
      <w:pPr>
        <w:pStyle w:val="Heading5"/>
        <w:rPr>
          <w:color w:val="auto"/>
          <w:lang w:val="el-GR"/>
        </w:rPr>
      </w:pPr>
      <w:r w:rsidRPr="00CC1034">
        <w:rPr>
          <w:color w:val="auto"/>
          <w:lang w:val="el-GR"/>
        </w:rPr>
        <w:tab/>
      </w:r>
      <w:r w:rsidR="0048579D" w:rsidRPr="00CC1034">
        <w:rPr>
          <w:color w:val="auto"/>
          <w:lang w:val="el-GR"/>
        </w:rPr>
        <w:tab/>
      </w:r>
      <w:r w:rsidR="000E2594" w:rsidRPr="00CC1034">
        <w:rPr>
          <w:color w:val="auto"/>
          <w:lang w:val="en-GB"/>
        </w:rPr>
        <w:t>i</w:t>
      </w:r>
      <w:r w:rsidR="000E2594" w:rsidRPr="00CC1034">
        <w:rPr>
          <w:color w:val="auto"/>
          <w:lang w:val="el-GR"/>
        </w:rPr>
        <w:t xml:space="preserve">. Οδηγία </w:t>
      </w:r>
      <w:r w:rsidR="0048579D" w:rsidRPr="00CC1034">
        <w:rPr>
          <w:color w:val="auto"/>
          <w:lang w:val="el-GR"/>
        </w:rPr>
        <w:t xml:space="preserve">89/666 </w:t>
      </w:r>
      <w:r w:rsidR="000E2594" w:rsidRPr="00CC1034">
        <w:rPr>
          <w:color w:val="auto"/>
          <w:lang w:val="el-GR"/>
        </w:rPr>
        <w:t xml:space="preserve">για τη δημοσιότητα υποκαταστημάτων </w:t>
      </w:r>
    </w:p>
    <w:p w14:paraId="1A17042D" w14:textId="6AB89989" w:rsidR="000E2594" w:rsidRPr="00CC1034" w:rsidRDefault="000E2594" w:rsidP="000E2594">
      <w:pPr>
        <w:pStyle w:val="Heading5"/>
        <w:rPr>
          <w:color w:val="auto"/>
          <w:lang w:val="el-GR"/>
        </w:rPr>
      </w:pPr>
      <w:r w:rsidRPr="00CC1034">
        <w:rPr>
          <w:color w:val="auto"/>
          <w:lang w:val="el-GR"/>
        </w:rPr>
        <w:tab/>
      </w:r>
      <w:r w:rsidR="0048579D" w:rsidRPr="00CC1034">
        <w:rPr>
          <w:color w:val="auto"/>
          <w:lang w:val="el-GR"/>
        </w:rPr>
        <w:tab/>
      </w:r>
      <w:r w:rsidR="0048579D" w:rsidRPr="00CC1034">
        <w:rPr>
          <w:color w:val="auto"/>
          <w:lang w:val="en-GB"/>
        </w:rPr>
        <w:t>I</w:t>
      </w:r>
      <w:r w:rsidRPr="00CC1034">
        <w:rPr>
          <w:color w:val="auto"/>
          <w:lang w:val="en-GB"/>
        </w:rPr>
        <w:t>i</w:t>
      </w:r>
      <w:r w:rsidRPr="00CC1034">
        <w:rPr>
          <w:color w:val="auto"/>
          <w:lang w:val="el-GR"/>
        </w:rPr>
        <w:t xml:space="preserve">. Οδηγία </w:t>
      </w:r>
      <w:r w:rsidR="0048579D" w:rsidRPr="00CC1034">
        <w:rPr>
          <w:color w:val="auto"/>
          <w:lang w:val="el-GR"/>
        </w:rPr>
        <w:t xml:space="preserve">2004/25 </w:t>
      </w:r>
      <w:r w:rsidRPr="00CC1034">
        <w:rPr>
          <w:color w:val="auto"/>
          <w:lang w:val="el-GR"/>
        </w:rPr>
        <w:t>για δημόσι</w:t>
      </w:r>
      <w:r w:rsidR="0048579D" w:rsidRPr="00CC1034">
        <w:rPr>
          <w:color w:val="auto"/>
          <w:lang w:val="el-GR"/>
        </w:rPr>
        <w:t xml:space="preserve">ες προσφορές – εξαγορά </w:t>
      </w:r>
      <w:r w:rsidRPr="00CC1034">
        <w:rPr>
          <w:color w:val="auto"/>
          <w:lang w:val="el-GR"/>
        </w:rPr>
        <w:t xml:space="preserve"> </w:t>
      </w:r>
    </w:p>
    <w:p w14:paraId="00080200" w14:textId="77777777" w:rsidR="000E2594" w:rsidRPr="00CC1034" w:rsidRDefault="000E2594" w:rsidP="0048579D">
      <w:pPr>
        <w:pStyle w:val="Heading5"/>
        <w:ind w:left="1416"/>
        <w:rPr>
          <w:color w:val="auto"/>
          <w:lang w:val="el-GR"/>
        </w:rPr>
      </w:pPr>
      <w:r w:rsidRPr="00CC1034">
        <w:rPr>
          <w:color w:val="auto"/>
          <w:lang w:val="fr-BE"/>
        </w:rPr>
        <w:t>iii</w:t>
      </w:r>
      <w:r w:rsidRPr="00CC1034">
        <w:rPr>
          <w:color w:val="auto"/>
          <w:lang w:val="el-GR"/>
        </w:rPr>
        <w:t>. Οδηγία 2014/86 για το κοινό φορολογικό καθεστώς το οποίο ισχύει για τις μητρικές και τις θυγατρικές εταιρείες διαφορετικών κρατών μελών</w:t>
      </w:r>
    </w:p>
    <w:p w14:paraId="3F8D4D6F" w14:textId="0366D664" w:rsidR="00630588" w:rsidRPr="00CC1034" w:rsidRDefault="00305C0A" w:rsidP="00A53476">
      <w:pPr>
        <w:pStyle w:val="Heading4"/>
        <w:spacing w:before="240"/>
        <w:ind w:left="709" w:firstLine="709"/>
        <w:rPr>
          <w:b w:val="0"/>
          <w:color w:val="auto"/>
          <w:lang w:val="el-GR"/>
        </w:rPr>
      </w:pPr>
      <w:r w:rsidRPr="00CC1034">
        <w:rPr>
          <w:color w:val="auto"/>
          <w:lang w:val="el-GR"/>
        </w:rPr>
        <w:t>δ. Αναδιάρθρωση εταιριών</w:t>
      </w:r>
      <w:r w:rsidR="00A53476" w:rsidRPr="00CC1034">
        <w:rPr>
          <w:color w:val="auto"/>
          <w:lang w:val="el-GR"/>
        </w:rPr>
        <w:t xml:space="preserve"> </w:t>
      </w:r>
      <w:r w:rsidR="00A53476" w:rsidRPr="00CC1034">
        <w:rPr>
          <w:b w:val="0"/>
          <w:color w:val="auto"/>
          <w:lang w:val="el-GR"/>
        </w:rPr>
        <w:t>(</w:t>
      </w:r>
      <w:r w:rsidR="0048579D" w:rsidRPr="00CC1034">
        <w:rPr>
          <w:b w:val="0"/>
          <w:color w:val="auto"/>
          <w:lang w:val="el-GR"/>
        </w:rPr>
        <w:t>Οδηγία 2011/35</w:t>
      </w:r>
      <w:r w:rsidR="00630588" w:rsidRPr="00CC1034">
        <w:rPr>
          <w:b w:val="0"/>
          <w:color w:val="auto"/>
          <w:lang w:val="el-GR"/>
        </w:rPr>
        <w:t xml:space="preserve"> για συγχώνευση και διάσπαση αν</w:t>
      </w:r>
      <w:r w:rsidR="00A53476" w:rsidRPr="00CC1034">
        <w:rPr>
          <w:b w:val="0"/>
          <w:color w:val="auto"/>
          <w:lang w:val="el-GR"/>
        </w:rPr>
        <w:t>ωνύμων εταιριών)</w:t>
      </w:r>
    </w:p>
    <w:p w14:paraId="7E665029" w14:textId="6854EA93" w:rsidR="00630588" w:rsidRPr="00CC1034" w:rsidRDefault="00305C0A" w:rsidP="00931518">
      <w:pPr>
        <w:pStyle w:val="Heading4"/>
        <w:spacing w:before="240"/>
        <w:ind w:left="709" w:firstLine="709"/>
        <w:rPr>
          <w:b w:val="0"/>
          <w:color w:val="auto"/>
          <w:lang w:val="el-GR"/>
        </w:rPr>
      </w:pPr>
      <w:r w:rsidRPr="00CC1034">
        <w:rPr>
          <w:color w:val="auto"/>
          <w:lang w:val="el-GR"/>
        </w:rPr>
        <w:t>ε. Εγγυήσεις σχετικές με την οικονομική κατάσταση των εταιριών</w:t>
      </w:r>
      <w:r w:rsidR="00931518" w:rsidRPr="00CC1034">
        <w:rPr>
          <w:color w:val="auto"/>
          <w:lang w:val="el-GR"/>
        </w:rPr>
        <w:t xml:space="preserve"> </w:t>
      </w:r>
      <w:r w:rsidR="00931518" w:rsidRPr="00CC1034">
        <w:rPr>
          <w:b w:val="0"/>
          <w:color w:val="auto"/>
          <w:lang w:val="el-GR"/>
        </w:rPr>
        <w:t>(</w:t>
      </w:r>
      <w:r w:rsidR="00630588" w:rsidRPr="00CC1034">
        <w:rPr>
          <w:b w:val="0"/>
          <w:color w:val="auto"/>
          <w:lang w:val="el-GR"/>
        </w:rPr>
        <w:t xml:space="preserve">Οδηγίες για ετήσιους </w:t>
      </w:r>
      <w:r w:rsidR="00931518" w:rsidRPr="00CC1034">
        <w:rPr>
          <w:b w:val="0"/>
          <w:color w:val="auto"/>
          <w:lang w:val="el-GR"/>
        </w:rPr>
        <w:t xml:space="preserve">και ενοποιημένους λογαριασμούς </w:t>
      </w:r>
      <w:r w:rsidR="00630588" w:rsidRPr="00CC1034">
        <w:rPr>
          <w:b w:val="0"/>
          <w:color w:val="auto"/>
          <w:lang w:val="el-GR"/>
        </w:rPr>
        <w:t>2013/34, 2009/49, 2006/43)</w:t>
      </w:r>
    </w:p>
    <w:p w14:paraId="361E3A45" w14:textId="77777777" w:rsidR="00305C0A" w:rsidRPr="00CC1034" w:rsidRDefault="00305C0A" w:rsidP="00305C0A">
      <w:pPr>
        <w:rPr>
          <w:lang w:val="el-GR"/>
        </w:rPr>
      </w:pPr>
    </w:p>
    <w:p w14:paraId="40AE28D5" w14:textId="77777777" w:rsidR="00C46241" w:rsidRPr="00CC1034" w:rsidRDefault="00C46241" w:rsidP="0096397B">
      <w:pPr>
        <w:pStyle w:val="Heading3"/>
        <w:ind w:left="708"/>
        <w:rPr>
          <w:color w:val="auto"/>
          <w:lang w:val="el-GR"/>
        </w:rPr>
      </w:pPr>
      <w:r w:rsidRPr="00CC1034">
        <w:rPr>
          <w:color w:val="auto"/>
          <w:lang w:val="el-GR"/>
        </w:rPr>
        <w:t xml:space="preserve">2. </w:t>
      </w:r>
      <w:r w:rsidR="0096397B" w:rsidRPr="00CC1034">
        <w:rPr>
          <w:color w:val="auto"/>
          <w:lang w:val="el-GR"/>
        </w:rPr>
        <w:t>Οι πρωτοβουλίες ά</w:t>
      </w:r>
      <w:r w:rsidRPr="00CC1034">
        <w:rPr>
          <w:color w:val="auto"/>
          <w:lang w:val="el-GR"/>
        </w:rPr>
        <w:t>ρση</w:t>
      </w:r>
      <w:r w:rsidR="0096397B" w:rsidRPr="00CC1034">
        <w:rPr>
          <w:color w:val="auto"/>
          <w:lang w:val="el-GR"/>
        </w:rPr>
        <w:t>ς</w:t>
      </w:r>
      <w:r w:rsidRPr="00CC1034">
        <w:rPr>
          <w:color w:val="auto"/>
          <w:lang w:val="el-GR"/>
        </w:rPr>
        <w:t xml:space="preserve"> των εμποδίων για την ανάπτυξη των εταιριών σε ευρωπαϊκό επίπεδο</w:t>
      </w:r>
    </w:p>
    <w:p w14:paraId="74613CF5" w14:textId="2A5AF920" w:rsidR="002B629D" w:rsidRPr="00CC1034" w:rsidRDefault="002B629D" w:rsidP="002B629D">
      <w:pPr>
        <w:pStyle w:val="Heading4"/>
        <w:rPr>
          <w:b w:val="0"/>
          <w:color w:val="auto"/>
          <w:lang w:val="el-GR"/>
        </w:rPr>
      </w:pPr>
      <w:r w:rsidRPr="00CC1034">
        <w:rPr>
          <w:color w:val="auto"/>
          <w:lang w:val="el-GR"/>
        </w:rPr>
        <w:tab/>
      </w:r>
      <w:r w:rsidR="0048579D" w:rsidRPr="00CC1034">
        <w:rPr>
          <w:color w:val="auto"/>
          <w:lang w:val="el-GR"/>
        </w:rPr>
        <w:tab/>
      </w:r>
      <w:r w:rsidRPr="00CC1034">
        <w:rPr>
          <w:color w:val="auto"/>
          <w:lang w:val="el-GR"/>
        </w:rPr>
        <w:t xml:space="preserve">α. Η οδηγία για τις διασυνοριακές συγχωνεύσεις </w:t>
      </w:r>
      <w:r w:rsidRPr="00CC1034">
        <w:rPr>
          <w:b w:val="0"/>
          <w:color w:val="auto"/>
          <w:lang w:val="el-GR"/>
        </w:rPr>
        <w:t>(2005/56/ΕΚ)</w:t>
      </w:r>
    </w:p>
    <w:p w14:paraId="516C6B14" w14:textId="77777777" w:rsidR="002B629D" w:rsidRPr="00CC1034" w:rsidRDefault="002B629D" w:rsidP="0048579D">
      <w:pPr>
        <w:pStyle w:val="Heading4"/>
        <w:ind w:left="708" w:firstLine="708"/>
        <w:rPr>
          <w:color w:val="auto"/>
          <w:lang w:val="el-GR"/>
        </w:rPr>
      </w:pPr>
      <w:r w:rsidRPr="00CC1034">
        <w:rPr>
          <w:color w:val="auto"/>
          <w:lang w:val="el-GR"/>
        </w:rPr>
        <w:t>β. Η άσκηση ορισμένων</w:t>
      </w:r>
      <w:r w:rsidR="00305C0A" w:rsidRPr="00CC1034">
        <w:rPr>
          <w:color w:val="auto"/>
          <w:lang w:val="el-GR"/>
        </w:rPr>
        <w:t xml:space="preserve"> δικαιωμάτων από μετόχους εισηγμένων εταιριών </w:t>
      </w:r>
      <w:r w:rsidR="00305C0A" w:rsidRPr="00CC1034">
        <w:rPr>
          <w:b w:val="0"/>
          <w:color w:val="auto"/>
          <w:lang w:val="el-GR"/>
        </w:rPr>
        <w:t>(οδηγία 2007/36)</w:t>
      </w:r>
    </w:p>
    <w:p w14:paraId="4754C3A5" w14:textId="77777777" w:rsidR="00C46241" w:rsidRPr="00CC1034" w:rsidRDefault="00C46241" w:rsidP="0048579D">
      <w:pPr>
        <w:pStyle w:val="Heading3"/>
        <w:ind w:left="708"/>
        <w:rPr>
          <w:color w:val="auto"/>
          <w:lang w:val="el-GR"/>
        </w:rPr>
      </w:pPr>
      <w:r w:rsidRPr="00CC1034">
        <w:rPr>
          <w:color w:val="auto"/>
          <w:lang w:val="el-GR"/>
        </w:rPr>
        <w:t xml:space="preserve">3. </w:t>
      </w:r>
      <w:r w:rsidR="0096397B" w:rsidRPr="00CC1034">
        <w:rPr>
          <w:color w:val="auto"/>
          <w:lang w:val="el-GR"/>
        </w:rPr>
        <w:t xml:space="preserve">Ευρωπαϊκές - υπερεθνικές μορφές εταιριών </w:t>
      </w:r>
      <w:r w:rsidRPr="00CC1034">
        <w:rPr>
          <w:color w:val="auto"/>
          <w:lang w:val="el-GR"/>
        </w:rPr>
        <w:t xml:space="preserve"> </w:t>
      </w:r>
    </w:p>
    <w:p w14:paraId="19E26191" w14:textId="7F13F8AB" w:rsidR="0096397B" w:rsidRPr="00CC1034" w:rsidRDefault="0096397B" w:rsidP="0096397B">
      <w:pPr>
        <w:pStyle w:val="Heading4"/>
        <w:rPr>
          <w:color w:val="auto"/>
          <w:lang w:val="el-GR"/>
        </w:rPr>
      </w:pPr>
      <w:r w:rsidRPr="00CC1034">
        <w:rPr>
          <w:color w:val="auto"/>
          <w:lang w:val="el-GR"/>
        </w:rPr>
        <w:tab/>
      </w:r>
      <w:r w:rsidR="0048579D" w:rsidRPr="00CC1034">
        <w:rPr>
          <w:color w:val="auto"/>
          <w:lang w:val="el-GR"/>
        </w:rPr>
        <w:tab/>
      </w:r>
      <w:r w:rsidRPr="00CC1034">
        <w:rPr>
          <w:color w:val="auto"/>
          <w:lang w:val="el-GR"/>
        </w:rPr>
        <w:t>α. Η Ευρωπαϊκή Εταιρία (</w:t>
      </w:r>
      <w:r w:rsidRPr="00CC1034">
        <w:rPr>
          <w:color w:val="auto"/>
          <w:lang w:val="fr-BE"/>
        </w:rPr>
        <w:t>Societas</w:t>
      </w:r>
      <w:r w:rsidRPr="00CC1034">
        <w:rPr>
          <w:color w:val="auto"/>
          <w:lang w:val="el-GR"/>
        </w:rPr>
        <w:t xml:space="preserve"> </w:t>
      </w:r>
      <w:r w:rsidRPr="00CC1034">
        <w:rPr>
          <w:color w:val="auto"/>
          <w:lang w:val="fr-BE"/>
        </w:rPr>
        <w:t>Europea</w:t>
      </w:r>
      <w:r w:rsidRPr="00CC1034">
        <w:rPr>
          <w:color w:val="auto"/>
          <w:lang w:val="el-GR"/>
        </w:rPr>
        <w:t xml:space="preserve"> - </w:t>
      </w:r>
      <w:r w:rsidRPr="00CC1034">
        <w:rPr>
          <w:color w:val="auto"/>
          <w:lang w:val="fr-BE"/>
        </w:rPr>
        <w:t>SE</w:t>
      </w:r>
      <w:r w:rsidRPr="00CC1034">
        <w:rPr>
          <w:color w:val="auto"/>
          <w:lang w:val="el-GR"/>
        </w:rPr>
        <w:t>)</w:t>
      </w:r>
    </w:p>
    <w:p w14:paraId="1CC5BC3D" w14:textId="2F2F9F94" w:rsidR="0096397B" w:rsidRPr="00CC1034" w:rsidRDefault="0096397B" w:rsidP="0048579D">
      <w:pPr>
        <w:pStyle w:val="Heading4"/>
        <w:ind w:left="1416" w:firstLine="12"/>
        <w:rPr>
          <w:color w:val="auto"/>
          <w:lang w:val="el-GR"/>
        </w:rPr>
      </w:pPr>
      <w:r w:rsidRPr="00CC1034">
        <w:rPr>
          <w:color w:val="auto"/>
          <w:lang w:val="el-GR"/>
        </w:rPr>
        <w:t>β. Η Ευρωπαϊκή Συνεταιριστική Εταιρία (</w:t>
      </w:r>
      <w:r w:rsidRPr="00CC1034">
        <w:rPr>
          <w:color w:val="auto"/>
          <w:lang w:val="fr-BE"/>
        </w:rPr>
        <w:t>Societas</w:t>
      </w:r>
      <w:r w:rsidRPr="00CC1034">
        <w:rPr>
          <w:color w:val="auto"/>
          <w:lang w:val="el-GR"/>
        </w:rPr>
        <w:t xml:space="preserve"> </w:t>
      </w:r>
      <w:r w:rsidRPr="00CC1034">
        <w:rPr>
          <w:color w:val="auto"/>
          <w:lang w:val="fr-BE"/>
        </w:rPr>
        <w:t>Cooperativa</w:t>
      </w:r>
      <w:r w:rsidRPr="00CC1034">
        <w:rPr>
          <w:color w:val="auto"/>
          <w:lang w:val="el-GR"/>
        </w:rPr>
        <w:t xml:space="preserve"> </w:t>
      </w:r>
      <w:r w:rsidRPr="00CC1034">
        <w:rPr>
          <w:color w:val="auto"/>
          <w:lang w:val="fr-BE"/>
        </w:rPr>
        <w:t>Europea</w:t>
      </w:r>
      <w:r w:rsidRPr="00CC1034">
        <w:rPr>
          <w:color w:val="auto"/>
          <w:lang w:val="el-GR"/>
        </w:rPr>
        <w:t>)</w:t>
      </w:r>
    </w:p>
    <w:p w14:paraId="68D32B5A" w14:textId="69AEC952" w:rsidR="0096397B" w:rsidRPr="00CC1034" w:rsidRDefault="0096397B" w:rsidP="0096397B">
      <w:pPr>
        <w:pStyle w:val="Heading4"/>
        <w:rPr>
          <w:color w:val="auto"/>
          <w:lang w:val="el-GR"/>
        </w:rPr>
      </w:pPr>
      <w:r w:rsidRPr="00CC1034">
        <w:rPr>
          <w:color w:val="auto"/>
          <w:lang w:val="el-GR"/>
        </w:rPr>
        <w:tab/>
      </w:r>
      <w:r w:rsidR="0048579D" w:rsidRPr="00CC1034">
        <w:rPr>
          <w:color w:val="auto"/>
          <w:lang w:val="el-GR"/>
        </w:rPr>
        <w:tab/>
      </w:r>
      <w:r w:rsidRPr="00CC1034">
        <w:rPr>
          <w:color w:val="auto"/>
          <w:lang w:val="el-GR"/>
        </w:rPr>
        <w:t>γ. Ο Ευρωπαϊκός Όμιλος Οικονομικού Συμφέροντος (</w:t>
      </w:r>
      <w:r w:rsidRPr="00CC1034">
        <w:rPr>
          <w:color w:val="auto"/>
          <w:lang w:val="fr-BE"/>
        </w:rPr>
        <w:t>EOO</w:t>
      </w:r>
      <w:r w:rsidRPr="00CC1034">
        <w:rPr>
          <w:color w:val="auto"/>
          <w:lang w:val="el-GR"/>
        </w:rPr>
        <w:t>Σ)</w:t>
      </w:r>
    </w:p>
    <w:p w14:paraId="08330892" w14:textId="71B7AD37" w:rsidR="0096397B" w:rsidRPr="00CC1034" w:rsidRDefault="0096397B" w:rsidP="0096397B">
      <w:pPr>
        <w:pStyle w:val="Heading4"/>
        <w:rPr>
          <w:color w:val="auto"/>
          <w:lang w:val="el-GR"/>
        </w:rPr>
      </w:pPr>
      <w:r w:rsidRPr="00CC1034">
        <w:rPr>
          <w:color w:val="auto"/>
          <w:lang w:val="el-GR"/>
        </w:rPr>
        <w:tab/>
      </w:r>
      <w:r w:rsidR="00341EC4" w:rsidRPr="00CC1034">
        <w:rPr>
          <w:color w:val="auto"/>
          <w:lang w:val="el-GR"/>
        </w:rPr>
        <w:tab/>
      </w:r>
      <w:r w:rsidRPr="00CC1034">
        <w:rPr>
          <w:color w:val="auto"/>
          <w:lang w:val="el-GR"/>
        </w:rPr>
        <w:t>δ. Η Ευρωπαϊκή Ιδιωτική Εταιρία (</w:t>
      </w:r>
      <w:r w:rsidRPr="00CC1034">
        <w:rPr>
          <w:color w:val="auto"/>
          <w:lang w:val="fr-BE"/>
        </w:rPr>
        <w:t>Societas</w:t>
      </w:r>
      <w:r w:rsidRPr="00CC1034">
        <w:rPr>
          <w:color w:val="auto"/>
          <w:lang w:val="el-GR"/>
        </w:rPr>
        <w:t xml:space="preserve"> </w:t>
      </w:r>
      <w:r w:rsidRPr="00CC1034">
        <w:rPr>
          <w:color w:val="auto"/>
          <w:lang w:val="fr-BE"/>
        </w:rPr>
        <w:t>Privata</w:t>
      </w:r>
      <w:r w:rsidRPr="00CC1034">
        <w:rPr>
          <w:color w:val="auto"/>
          <w:lang w:val="el-GR"/>
        </w:rPr>
        <w:t xml:space="preserve"> </w:t>
      </w:r>
      <w:r w:rsidRPr="00CC1034">
        <w:rPr>
          <w:color w:val="auto"/>
          <w:lang w:val="fr-BE"/>
        </w:rPr>
        <w:t>Europea</w:t>
      </w:r>
      <w:r w:rsidRPr="00CC1034">
        <w:rPr>
          <w:color w:val="auto"/>
          <w:lang w:val="el-GR"/>
        </w:rPr>
        <w:t xml:space="preserve"> - </w:t>
      </w:r>
      <w:r w:rsidRPr="00CC1034">
        <w:rPr>
          <w:color w:val="auto"/>
          <w:lang w:val="fr-BE"/>
        </w:rPr>
        <w:t>SPE</w:t>
      </w:r>
      <w:r w:rsidRPr="00CC1034">
        <w:rPr>
          <w:color w:val="auto"/>
          <w:lang w:val="el-GR"/>
        </w:rPr>
        <w:t>)</w:t>
      </w:r>
    </w:p>
    <w:p w14:paraId="28DC7998" w14:textId="77777777" w:rsidR="0096397B" w:rsidRPr="00CC1034" w:rsidRDefault="0096397B" w:rsidP="0096397B">
      <w:pPr>
        <w:rPr>
          <w:lang w:val="el-GR"/>
        </w:rPr>
      </w:pPr>
    </w:p>
    <w:p w14:paraId="39817166" w14:textId="77777777" w:rsidR="00F06E20" w:rsidRPr="00CC1034" w:rsidRDefault="00F06E20" w:rsidP="00F06E20">
      <w:pPr>
        <w:rPr>
          <w:lang w:val="el-GR"/>
        </w:rPr>
      </w:pPr>
    </w:p>
    <w:p w14:paraId="35E83A76" w14:textId="469D6EC5" w:rsidR="00F06E20" w:rsidRPr="00B540EF" w:rsidRDefault="00BD5C9E" w:rsidP="002F233B">
      <w:pPr>
        <w:pStyle w:val="Heading1"/>
        <w:jc w:val="center"/>
        <w:rPr>
          <w:color w:val="1F497D" w:themeColor="text2"/>
          <w:lang w:val="el-GR"/>
        </w:rPr>
      </w:pPr>
      <w:r w:rsidRPr="00B540EF">
        <w:rPr>
          <w:color w:val="1F497D" w:themeColor="text2"/>
          <w:lang w:val="en-GB"/>
        </w:rPr>
        <w:t>III</w:t>
      </w:r>
      <w:r w:rsidRPr="00B540EF">
        <w:rPr>
          <w:color w:val="1F497D" w:themeColor="text2"/>
          <w:lang w:val="el-GR"/>
        </w:rPr>
        <w:t xml:space="preserve">. </w:t>
      </w:r>
      <w:r w:rsidR="00F06E20" w:rsidRPr="00B540EF">
        <w:rPr>
          <w:color w:val="1F497D" w:themeColor="text2"/>
          <w:lang w:val="el-GR"/>
        </w:rPr>
        <w:t>Ε</w:t>
      </w:r>
      <w:r w:rsidR="00C82F24" w:rsidRPr="00B540EF">
        <w:rPr>
          <w:color w:val="1F497D" w:themeColor="text2"/>
          <w:lang w:val="el-GR"/>
        </w:rPr>
        <w:t>νωσιακό</w:t>
      </w:r>
      <w:r w:rsidR="00F06E20" w:rsidRPr="00B540EF">
        <w:rPr>
          <w:color w:val="1F497D" w:themeColor="text2"/>
          <w:lang w:val="el-GR"/>
        </w:rPr>
        <w:t xml:space="preserve"> </w:t>
      </w:r>
      <w:r w:rsidR="00D53E9D" w:rsidRPr="00B540EF">
        <w:rPr>
          <w:color w:val="1F497D" w:themeColor="text2"/>
          <w:lang w:val="el-GR"/>
        </w:rPr>
        <w:t xml:space="preserve">νομοθετικό </w:t>
      </w:r>
      <w:r w:rsidR="00F06E20" w:rsidRPr="00B540EF">
        <w:rPr>
          <w:color w:val="1F497D" w:themeColor="text2"/>
          <w:lang w:val="el-GR"/>
        </w:rPr>
        <w:t>πλαίσιο προστασίας του καταναλωτή</w:t>
      </w:r>
    </w:p>
    <w:p w14:paraId="291783A1" w14:textId="308A0801" w:rsidR="00F06E20" w:rsidRPr="00CC1034" w:rsidRDefault="0048579D" w:rsidP="0048579D">
      <w:pPr>
        <w:pStyle w:val="Heading2"/>
        <w:rPr>
          <w:color w:val="auto"/>
          <w:lang w:val="el-GR"/>
        </w:rPr>
      </w:pPr>
      <w:r w:rsidRPr="00CC1034">
        <w:rPr>
          <w:color w:val="auto"/>
          <w:lang w:val="el-GR"/>
        </w:rPr>
        <w:t>Α. Γενικές αρχές</w:t>
      </w:r>
      <w:r w:rsidR="00DC00A6" w:rsidRPr="00CC1034">
        <w:rPr>
          <w:color w:val="auto"/>
          <w:lang w:val="el-GR"/>
        </w:rPr>
        <w:t xml:space="preserve"> και άξονες της πολιτικής προστασίας του καταναλωτή σε επίπεδο ΕΕ </w:t>
      </w:r>
      <w:r w:rsidR="00DB6FA9" w:rsidRPr="00CC1034">
        <w:rPr>
          <w:color w:val="auto"/>
          <w:lang w:val="el-GR"/>
        </w:rPr>
        <w:t xml:space="preserve"> </w:t>
      </w:r>
    </w:p>
    <w:p w14:paraId="0B2756EC" w14:textId="0FBF2CD7" w:rsidR="0048579D" w:rsidRPr="00CC1034" w:rsidRDefault="0048579D" w:rsidP="0048579D">
      <w:pPr>
        <w:pStyle w:val="Heading3"/>
        <w:ind w:firstLine="708"/>
        <w:rPr>
          <w:color w:val="auto"/>
          <w:lang w:val="el-GR"/>
        </w:rPr>
      </w:pPr>
      <w:r w:rsidRPr="00CC1034">
        <w:rPr>
          <w:color w:val="auto"/>
          <w:lang w:val="el-GR"/>
        </w:rPr>
        <w:t xml:space="preserve">1. Η εσωτερική αγορά και οι καταναλωτές  </w:t>
      </w:r>
    </w:p>
    <w:p w14:paraId="6FC5E6EE" w14:textId="28E90343" w:rsidR="0048579D" w:rsidRPr="00CC1034" w:rsidRDefault="0048579D" w:rsidP="0048579D">
      <w:pPr>
        <w:pStyle w:val="Heading3"/>
        <w:ind w:firstLine="708"/>
        <w:rPr>
          <w:color w:val="auto"/>
          <w:lang w:val="el-GR"/>
        </w:rPr>
      </w:pPr>
      <w:r w:rsidRPr="00CC1034">
        <w:rPr>
          <w:color w:val="auto"/>
          <w:lang w:val="el-GR"/>
        </w:rPr>
        <w:t>2. Η ν</w:t>
      </w:r>
      <w:r w:rsidR="009055C8" w:rsidRPr="00CC1034">
        <w:rPr>
          <w:color w:val="auto"/>
          <w:lang w:val="el-GR"/>
        </w:rPr>
        <w:t>ομική βάση για την προστασία του καταναλωτή</w:t>
      </w:r>
      <w:r w:rsidRPr="00CC1034">
        <w:rPr>
          <w:color w:val="auto"/>
          <w:lang w:val="el-GR"/>
        </w:rPr>
        <w:t xml:space="preserve"> σε ενωσιακό επίπεδο</w:t>
      </w:r>
    </w:p>
    <w:p w14:paraId="7C2895A5" w14:textId="52BD7E13" w:rsidR="0050717F" w:rsidRPr="00CC1034" w:rsidRDefault="0050717F" w:rsidP="00BE62AF">
      <w:pPr>
        <w:pStyle w:val="Heading3"/>
        <w:ind w:left="708"/>
        <w:jc w:val="both"/>
        <w:rPr>
          <w:b w:val="0"/>
          <w:color w:val="auto"/>
          <w:lang w:val="el-GR"/>
        </w:rPr>
      </w:pPr>
      <w:r w:rsidRPr="00CC1034">
        <w:rPr>
          <w:color w:val="auto"/>
          <w:lang w:val="el-GR"/>
        </w:rPr>
        <w:t>3. Η ευρωπαϊκή στρατηγική για την προστασία του καταναλωτή (</w:t>
      </w:r>
      <w:r w:rsidRPr="00CC1034">
        <w:rPr>
          <w:b w:val="0"/>
          <w:color w:val="auto"/>
        </w:rPr>
        <w:t>E</w:t>
      </w:r>
      <w:r w:rsidRPr="00CC1034">
        <w:rPr>
          <w:b w:val="0"/>
          <w:color w:val="auto"/>
          <w:lang w:val="fr-FR"/>
        </w:rPr>
        <w:t>uropean</w:t>
      </w:r>
      <w:r w:rsidRPr="00CC1034">
        <w:rPr>
          <w:b w:val="0"/>
          <w:color w:val="auto"/>
          <w:lang w:val="el-GR"/>
        </w:rPr>
        <w:t xml:space="preserve"> </w:t>
      </w:r>
      <w:r w:rsidRPr="00CC1034">
        <w:rPr>
          <w:b w:val="0"/>
          <w:color w:val="auto"/>
          <w:lang w:val="fr-FR"/>
        </w:rPr>
        <w:t>Consumer</w:t>
      </w:r>
      <w:r w:rsidRPr="00CC1034">
        <w:rPr>
          <w:b w:val="0"/>
          <w:color w:val="auto"/>
          <w:lang w:val="el-GR"/>
        </w:rPr>
        <w:t xml:space="preserve"> </w:t>
      </w:r>
      <w:r w:rsidRPr="00CC1034">
        <w:rPr>
          <w:b w:val="0"/>
          <w:color w:val="auto"/>
          <w:lang w:val="fr-FR"/>
        </w:rPr>
        <w:t>Agenda</w:t>
      </w:r>
      <w:r w:rsidRPr="00CC1034">
        <w:rPr>
          <w:b w:val="0"/>
          <w:color w:val="auto"/>
          <w:lang w:val="el-GR"/>
        </w:rPr>
        <w:t xml:space="preserve"> – </w:t>
      </w:r>
      <w:r w:rsidRPr="00CC1034">
        <w:rPr>
          <w:b w:val="0"/>
          <w:color w:val="auto"/>
          <w:lang w:val="fr-FR"/>
        </w:rPr>
        <w:t>Consumer</w:t>
      </w:r>
      <w:r w:rsidRPr="00CC1034">
        <w:rPr>
          <w:b w:val="0"/>
          <w:color w:val="auto"/>
          <w:lang w:val="el-GR"/>
        </w:rPr>
        <w:t xml:space="preserve"> </w:t>
      </w:r>
      <w:r w:rsidRPr="00CC1034">
        <w:rPr>
          <w:b w:val="0"/>
          <w:color w:val="auto"/>
          <w:lang w:val="fr-FR"/>
        </w:rPr>
        <w:t>Programme</w:t>
      </w:r>
      <w:r w:rsidRPr="00CC1034">
        <w:rPr>
          <w:b w:val="0"/>
          <w:color w:val="auto"/>
          <w:lang w:val="el-GR"/>
        </w:rPr>
        <w:t xml:space="preserve"> 2014-2020)</w:t>
      </w:r>
    </w:p>
    <w:p w14:paraId="4D1A0455" w14:textId="4F55E32F" w:rsidR="0048579D" w:rsidRPr="00CC1034" w:rsidRDefault="0050717F" w:rsidP="0048579D">
      <w:pPr>
        <w:pStyle w:val="Heading3"/>
        <w:ind w:firstLine="708"/>
        <w:rPr>
          <w:color w:val="auto"/>
          <w:lang w:val="el-GR"/>
        </w:rPr>
      </w:pPr>
      <w:r w:rsidRPr="00CC1034">
        <w:rPr>
          <w:color w:val="auto"/>
          <w:lang w:val="el-GR"/>
        </w:rPr>
        <w:t>4</w:t>
      </w:r>
      <w:r w:rsidR="0048579D" w:rsidRPr="00CC1034">
        <w:rPr>
          <w:color w:val="auto"/>
          <w:lang w:val="el-GR"/>
        </w:rPr>
        <w:t>. Η έννοια του καταναλωτή</w:t>
      </w:r>
    </w:p>
    <w:p w14:paraId="52DA10C5" w14:textId="4EBFA1FB" w:rsidR="0048579D" w:rsidRPr="00CC1034" w:rsidRDefault="0050717F" w:rsidP="0048579D">
      <w:pPr>
        <w:pStyle w:val="Heading3"/>
        <w:rPr>
          <w:color w:val="auto"/>
          <w:lang w:val="el-GR"/>
        </w:rPr>
      </w:pPr>
      <w:r w:rsidRPr="00CC1034">
        <w:rPr>
          <w:color w:val="auto"/>
          <w:lang w:val="el-GR"/>
        </w:rPr>
        <w:tab/>
        <w:t>5</w:t>
      </w:r>
      <w:r w:rsidR="0048579D" w:rsidRPr="00CC1034">
        <w:rPr>
          <w:color w:val="auto"/>
          <w:lang w:val="el-GR"/>
        </w:rPr>
        <w:t xml:space="preserve">. </w:t>
      </w:r>
      <w:r w:rsidRPr="00CC1034">
        <w:rPr>
          <w:color w:val="auto"/>
          <w:lang w:val="el-GR"/>
        </w:rPr>
        <w:t>Τα ε</w:t>
      </w:r>
      <w:r w:rsidR="00341EC4" w:rsidRPr="00CC1034">
        <w:rPr>
          <w:color w:val="auto"/>
          <w:lang w:val="el-GR"/>
        </w:rPr>
        <w:t>ργαλεία προστασίας του καταναλωτή</w:t>
      </w:r>
    </w:p>
    <w:p w14:paraId="477EDBAF" w14:textId="11483454" w:rsidR="00341EC4" w:rsidRPr="00CC1034" w:rsidRDefault="00341EC4" w:rsidP="00341EC4">
      <w:pPr>
        <w:pStyle w:val="Heading4"/>
        <w:rPr>
          <w:color w:val="auto"/>
          <w:lang w:val="el-GR"/>
        </w:rPr>
      </w:pPr>
      <w:r w:rsidRPr="00CC1034">
        <w:rPr>
          <w:color w:val="auto"/>
          <w:lang w:val="el-GR"/>
        </w:rPr>
        <w:tab/>
      </w:r>
      <w:r w:rsidRPr="00CC1034">
        <w:rPr>
          <w:color w:val="auto"/>
          <w:lang w:val="el-GR"/>
        </w:rPr>
        <w:tab/>
        <w:t>α. Η ενωσιακή νομοθεσία</w:t>
      </w:r>
    </w:p>
    <w:p w14:paraId="06DAC1C4" w14:textId="7A8E697D" w:rsidR="00341EC4" w:rsidRPr="00CC1034" w:rsidRDefault="00341EC4" w:rsidP="0050717F">
      <w:pPr>
        <w:pStyle w:val="Heading4"/>
        <w:ind w:left="1416"/>
        <w:rPr>
          <w:color w:val="auto"/>
          <w:lang w:val="el-GR"/>
        </w:rPr>
      </w:pPr>
      <w:r w:rsidRPr="00CC1034">
        <w:rPr>
          <w:color w:val="auto"/>
          <w:lang w:val="el-GR"/>
        </w:rPr>
        <w:t>β. Εργαλεία για την</w:t>
      </w:r>
      <w:r w:rsidR="0050717F" w:rsidRPr="00CC1034">
        <w:rPr>
          <w:color w:val="auto"/>
          <w:lang w:val="el-GR"/>
        </w:rPr>
        <w:t xml:space="preserve"> αξιολόγηση, εποπτεία και βελτίωση του ενωσιακού πλαισίου </w:t>
      </w:r>
    </w:p>
    <w:p w14:paraId="4471CDA8" w14:textId="3D7ECD64" w:rsidR="0050717F" w:rsidRPr="00CC1034" w:rsidRDefault="0050717F" w:rsidP="0050717F">
      <w:pPr>
        <w:pStyle w:val="Heading5"/>
        <w:ind w:left="1416" w:firstLine="4"/>
        <w:rPr>
          <w:color w:val="auto"/>
          <w:lang w:val="el-GR"/>
        </w:rPr>
      </w:pPr>
      <w:r w:rsidRPr="00CC1034">
        <w:rPr>
          <w:color w:val="auto"/>
          <w:lang w:val="fr-FR"/>
        </w:rPr>
        <w:t>i</w:t>
      </w:r>
      <w:r w:rsidRPr="00CC1034">
        <w:rPr>
          <w:color w:val="auto"/>
          <w:lang w:val="el-GR"/>
        </w:rPr>
        <w:t>. Ο Πίνακας Αποτελεσμάτων Καταναλωτών και Καταναλωτικών Συνθηκών (</w:t>
      </w:r>
      <w:r w:rsidRPr="00CC1034">
        <w:rPr>
          <w:color w:val="auto"/>
          <w:lang w:val="de-DE"/>
        </w:rPr>
        <w:t>Consu</w:t>
      </w:r>
      <w:r w:rsidRPr="00CC1034">
        <w:rPr>
          <w:color w:val="auto"/>
          <w:lang w:val="fr-FR"/>
        </w:rPr>
        <w:t>mer</w:t>
      </w:r>
      <w:r w:rsidRPr="00CC1034">
        <w:rPr>
          <w:color w:val="auto"/>
          <w:lang w:val="el-GR"/>
        </w:rPr>
        <w:t xml:space="preserve"> </w:t>
      </w:r>
      <w:r w:rsidRPr="00CC1034">
        <w:rPr>
          <w:color w:val="auto"/>
          <w:lang w:val="fr-FR"/>
        </w:rPr>
        <w:t>Protection</w:t>
      </w:r>
      <w:r w:rsidRPr="00CC1034">
        <w:rPr>
          <w:color w:val="auto"/>
          <w:lang w:val="el-GR"/>
        </w:rPr>
        <w:t xml:space="preserve"> </w:t>
      </w:r>
      <w:r w:rsidRPr="00CC1034">
        <w:rPr>
          <w:color w:val="auto"/>
          <w:lang w:val="fr-FR"/>
        </w:rPr>
        <w:t>Scoreboard</w:t>
      </w:r>
      <w:r w:rsidRPr="00CC1034">
        <w:rPr>
          <w:color w:val="auto"/>
          <w:lang w:val="el-GR"/>
        </w:rPr>
        <w:t xml:space="preserve">) </w:t>
      </w:r>
    </w:p>
    <w:p w14:paraId="079055A7" w14:textId="5D42D56F" w:rsidR="0050717F" w:rsidRPr="00CC1034" w:rsidRDefault="0050717F" w:rsidP="004A7E1F">
      <w:pPr>
        <w:pStyle w:val="Heading5"/>
        <w:ind w:left="1416" w:firstLine="4"/>
        <w:rPr>
          <w:color w:val="auto"/>
          <w:lang w:val="el-GR"/>
        </w:rPr>
      </w:pPr>
      <w:r w:rsidRPr="00CC1034">
        <w:rPr>
          <w:color w:val="auto"/>
          <w:lang w:val="fr-FR"/>
        </w:rPr>
        <w:t>ii</w:t>
      </w:r>
      <w:r w:rsidRPr="00CC1034">
        <w:rPr>
          <w:color w:val="auto"/>
          <w:lang w:val="el-GR"/>
        </w:rPr>
        <w:t xml:space="preserve">. Το Ευρωπαϊκό Δίκτυο </w:t>
      </w:r>
      <w:r w:rsidR="004A7E1F" w:rsidRPr="00CC1034">
        <w:rPr>
          <w:color w:val="auto"/>
          <w:lang w:val="el-GR"/>
        </w:rPr>
        <w:t>Κέντρων Καταναλωτών (</w:t>
      </w:r>
      <w:r w:rsidR="004A7E1F" w:rsidRPr="00CC1034">
        <w:rPr>
          <w:color w:val="auto"/>
          <w:lang w:val="fr-FR"/>
        </w:rPr>
        <w:t>European</w:t>
      </w:r>
      <w:r w:rsidR="004A7E1F" w:rsidRPr="00CC1034">
        <w:rPr>
          <w:color w:val="auto"/>
          <w:lang w:val="el-GR"/>
        </w:rPr>
        <w:t xml:space="preserve"> </w:t>
      </w:r>
      <w:r w:rsidR="004A7E1F" w:rsidRPr="00CC1034">
        <w:rPr>
          <w:color w:val="auto"/>
          <w:lang w:val="fr-FR"/>
        </w:rPr>
        <w:t>Network</w:t>
      </w:r>
      <w:r w:rsidR="004A7E1F" w:rsidRPr="00CC1034">
        <w:rPr>
          <w:color w:val="auto"/>
          <w:lang w:val="el-GR"/>
        </w:rPr>
        <w:t xml:space="preserve"> </w:t>
      </w:r>
      <w:r w:rsidR="004A7E1F" w:rsidRPr="00CC1034">
        <w:rPr>
          <w:color w:val="auto"/>
          <w:lang w:val="fr-FR"/>
        </w:rPr>
        <w:t>of</w:t>
      </w:r>
      <w:r w:rsidR="004A7E1F" w:rsidRPr="00CC1034">
        <w:rPr>
          <w:color w:val="auto"/>
          <w:lang w:val="el-GR"/>
        </w:rPr>
        <w:t xml:space="preserve"> </w:t>
      </w:r>
      <w:r w:rsidR="004A7E1F" w:rsidRPr="00CC1034">
        <w:rPr>
          <w:color w:val="auto"/>
          <w:lang w:val="fr-FR"/>
        </w:rPr>
        <w:t>Consumer</w:t>
      </w:r>
      <w:r w:rsidR="004A7E1F" w:rsidRPr="00CC1034">
        <w:rPr>
          <w:color w:val="auto"/>
          <w:lang w:val="el-GR"/>
        </w:rPr>
        <w:t xml:space="preserve"> </w:t>
      </w:r>
      <w:r w:rsidR="004A7E1F" w:rsidRPr="00CC1034">
        <w:rPr>
          <w:color w:val="auto"/>
          <w:lang w:val="fr-FR"/>
        </w:rPr>
        <w:t>Centers</w:t>
      </w:r>
      <w:r w:rsidR="004A7E1F" w:rsidRPr="00CC1034">
        <w:rPr>
          <w:color w:val="auto"/>
          <w:lang w:val="el-GR"/>
        </w:rPr>
        <w:t>)</w:t>
      </w:r>
    </w:p>
    <w:p w14:paraId="7E3DA137" w14:textId="45FA4F25" w:rsidR="004A7E1F" w:rsidRPr="00CC1034" w:rsidRDefault="004A7E1F" w:rsidP="004A7E1F">
      <w:pPr>
        <w:pStyle w:val="Heading5"/>
        <w:rPr>
          <w:color w:val="auto"/>
          <w:lang w:val="el-GR"/>
        </w:rPr>
      </w:pPr>
      <w:r w:rsidRPr="00CC1034">
        <w:rPr>
          <w:color w:val="auto"/>
          <w:lang w:val="el-GR"/>
        </w:rPr>
        <w:tab/>
      </w:r>
      <w:r w:rsidRPr="00CC1034">
        <w:rPr>
          <w:color w:val="auto"/>
          <w:lang w:val="el-GR"/>
        </w:rPr>
        <w:tab/>
      </w:r>
      <w:r w:rsidRPr="00CC1034">
        <w:rPr>
          <w:color w:val="auto"/>
          <w:lang w:val="fr-FR"/>
        </w:rPr>
        <w:t>iii</w:t>
      </w:r>
      <w:r w:rsidRPr="00CC1034">
        <w:rPr>
          <w:color w:val="auto"/>
          <w:lang w:val="el-GR"/>
        </w:rPr>
        <w:t xml:space="preserve">. </w:t>
      </w:r>
      <w:r w:rsidRPr="00CC1034">
        <w:rPr>
          <w:color w:val="auto"/>
          <w:lang w:val="fr-FR"/>
        </w:rPr>
        <w:t>To</w:t>
      </w:r>
      <w:r w:rsidRPr="00CC1034">
        <w:rPr>
          <w:color w:val="auto"/>
          <w:lang w:val="el-GR"/>
        </w:rPr>
        <w:t xml:space="preserve"> Ευρωπαϊκό Δικαστικό Δίκτυο (</w:t>
      </w:r>
      <w:r w:rsidRPr="00CC1034">
        <w:rPr>
          <w:color w:val="auto"/>
          <w:lang w:val="fr-FR"/>
        </w:rPr>
        <w:t>European</w:t>
      </w:r>
      <w:r w:rsidRPr="00CC1034">
        <w:rPr>
          <w:color w:val="auto"/>
          <w:lang w:val="el-GR"/>
        </w:rPr>
        <w:t xml:space="preserve"> </w:t>
      </w:r>
      <w:r w:rsidRPr="00CC1034">
        <w:rPr>
          <w:color w:val="auto"/>
          <w:lang w:val="fr-FR"/>
        </w:rPr>
        <w:t>Judicial</w:t>
      </w:r>
      <w:r w:rsidRPr="00CC1034">
        <w:rPr>
          <w:color w:val="auto"/>
          <w:lang w:val="el-GR"/>
        </w:rPr>
        <w:t xml:space="preserve"> </w:t>
      </w:r>
      <w:r w:rsidRPr="00CC1034">
        <w:rPr>
          <w:color w:val="auto"/>
          <w:lang w:val="fr-FR"/>
        </w:rPr>
        <w:t>Network</w:t>
      </w:r>
      <w:r w:rsidRPr="00CC1034">
        <w:rPr>
          <w:color w:val="auto"/>
          <w:lang w:val="el-GR"/>
        </w:rPr>
        <w:t>)</w:t>
      </w:r>
    </w:p>
    <w:p w14:paraId="512D0BC8" w14:textId="77777777" w:rsidR="00BE62AF" w:rsidRPr="00CC1034" w:rsidRDefault="00BE62AF" w:rsidP="003E0773">
      <w:pPr>
        <w:pStyle w:val="Heading2"/>
        <w:rPr>
          <w:color w:val="auto"/>
          <w:lang w:val="el-GR"/>
        </w:rPr>
      </w:pPr>
    </w:p>
    <w:p w14:paraId="7683FA71" w14:textId="56B61CE8" w:rsidR="003E0773" w:rsidRPr="00CC1034" w:rsidRDefault="003E0773" w:rsidP="003E0773">
      <w:pPr>
        <w:pStyle w:val="Heading2"/>
        <w:rPr>
          <w:color w:val="auto"/>
          <w:lang w:val="el-GR"/>
        </w:rPr>
      </w:pPr>
      <w:r w:rsidRPr="00CC1034">
        <w:rPr>
          <w:color w:val="auto"/>
        </w:rPr>
        <w:t>B</w:t>
      </w:r>
      <w:r w:rsidRPr="00CC1034">
        <w:rPr>
          <w:color w:val="auto"/>
          <w:lang w:val="el-GR"/>
        </w:rPr>
        <w:t>.</w:t>
      </w:r>
      <w:r w:rsidR="00341EC4" w:rsidRPr="00CC1034">
        <w:rPr>
          <w:color w:val="auto"/>
          <w:lang w:val="el-GR"/>
        </w:rPr>
        <w:t xml:space="preserve"> </w:t>
      </w:r>
      <w:r w:rsidR="00025531" w:rsidRPr="00CC1034">
        <w:rPr>
          <w:color w:val="auto"/>
        </w:rPr>
        <w:t>H</w:t>
      </w:r>
      <w:r w:rsidR="00025531" w:rsidRPr="00CC1034">
        <w:rPr>
          <w:color w:val="auto"/>
          <w:lang w:val="el-GR"/>
        </w:rPr>
        <w:t xml:space="preserve"> προστασία των οικονομικών συμφερόντων του καταναλωτή </w:t>
      </w:r>
    </w:p>
    <w:p w14:paraId="6E36D7E3" w14:textId="53417873" w:rsidR="00025531" w:rsidRPr="00CC1034" w:rsidRDefault="00025531" w:rsidP="00025531">
      <w:pPr>
        <w:pStyle w:val="Heading3"/>
        <w:rPr>
          <w:color w:val="auto"/>
          <w:lang w:val="el-GR"/>
        </w:rPr>
      </w:pPr>
      <w:r w:rsidRPr="00CC1034">
        <w:rPr>
          <w:color w:val="auto"/>
          <w:lang w:val="el-GR"/>
        </w:rPr>
        <w:tab/>
        <w:t xml:space="preserve">1. </w:t>
      </w:r>
      <w:r w:rsidR="007C00DA" w:rsidRPr="00CC1034">
        <w:rPr>
          <w:color w:val="auto"/>
          <w:lang w:val="el-GR"/>
        </w:rPr>
        <w:t>Η πληροφόρηση των καταναλωτών</w:t>
      </w:r>
    </w:p>
    <w:p w14:paraId="11B6A8C0" w14:textId="282B85A7" w:rsidR="007C00DA" w:rsidRPr="00CC1034" w:rsidRDefault="007C00DA" w:rsidP="007C00DA">
      <w:pPr>
        <w:pStyle w:val="Heading4"/>
        <w:rPr>
          <w:b w:val="0"/>
          <w:color w:val="auto"/>
          <w:lang w:val="el-GR"/>
        </w:rPr>
      </w:pPr>
      <w:r w:rsidRPr="00CC1034">
        <w:rPr>
          <w:color w:val="auto"/>
          <w:lang w:val="el-GR"/>
        </w:rPr>
        <w:tab/>
      </w:r>
      <w:r w:rsidRPr="00CC1034">
        <w:rPr>
          <w:color w:val="auto"/>
          <w:lang w:val="el-GR"/>
        </w:rPr>
        <w:tab/>
        <w:t xml:space="preserve">α. Η αναγραφή των τιμών </w:t>
      </w:r>
      <w:r w:rsidR="00D83B46" w:rsidRPr="00CC1034">
        <w:rPr>
          <w:b w:val="0"/>
          <w:color w:val="auto"/>
          <w:lang w:val="el-GR"/>
        </w:rPr>
        <w:t>(Ο</w:t>
      </w:r>
      <w:r w:rsidRPr="00CC1034">
        <w:rPr>
          <w:b w:val="0"/>
          <w:color w:val="auto"/>
          <w:lang w:val="el-GR"/>
        </w:rPr>
        <w:t>δηγία 98/6)</w:t>
      </w:r>
    </w:p>
    <w:p w14:paraId="4D91F9CB" w14:textId="44118097" w:rsidR="007C00DA" w:rsidRPr="00CC1034" w:rsidRDefault="007C00DA" w:rsidP="007C00DA">
      <w:pPr>
        <w:pStyle w:val="Heading4"/>
        <w:rPr>
          <w:color w:val="auto"/>
          <w:lang w:val="el-GR"/>
        </w:rPr>
      </w:pPr>
      <w:r w:rsidRPr="00CC1034">
        <w:rPr>
          <w:color w:val="auto"/>
          <w:lang w:val="el-GR"/>
        </w:rPr>
        <w:tab/>
      </w:r>
      <w:r w:rsidRPr="00CC1034">
        <w:rPr>
          <w:color w:val="auto"/>
          <w:lang w:val="el-GR"/>
        </w:rPr>
        <w:tab/>
        <w:t xml:space="preserve">β.  Η επισήμανση των τροφίμων </w:t>
      </w:r>
      <w:r w:rsidRPr="00CC1034">
        <w:rPr>
          <w:b w:val="0"/>
          <w:color w:val="auto"/>
          <w:lang w:val="el-GR"/>
        </w:rPr>
        <w:t>(Κανονισμός 1169/2011)</w:t>
      </w:r>
    </w:p>
    <w:p w14:paraId="5C5F3D93" w14:textId="5004D925" w:rsidR="007C00DA" w:rsidRPr="00CC1034" w:rsidRDefault="007C00DA" w:rsidP="007C00DA">
      <w:pPr>
        <w:pStyle w:val="Heading4"/>
        <w:rPr>
          <w:b w:val="0"/>
          <w:color w:val="auto"/>
          <w:lang w:val="el-GR"/>
        </w:rPr>
      </w:pPr>
      <w:r w:rsidRPr="00CC1034">
        <w:rPr>
          <w:color w:val="auto"/>
          <w:lang w:val="el-GR"/>
        </w:rPr>
        <w:tab/>
      </w:r>
      <w:r w:rsidRPr="00CC1034">
        <w:rPr>
          <w:color w:val="auto"/>
          <w:lang w:val="el-GR"/>
        </w:rPr>
        <w:tab/>
        <w:t xml:space="preserve">γ. </w:t>
      </w:r>
      <w:r w:rsidRPr="00CC1034">
        <w:rPr>
          <w:rStyle w:val="st"/>
          <w:rFonts w:eastAsia="Times New Roman" w:cs="Times New Roman"/>
          <w:color w:val="auto"/>
          <w:lang w:val="el-GR"/>
        </w:rPr>
        <w:t xml:space="preserve">Ισχυρισμοί διατροφής και υγείας στα τρόφιμα </w:t>
      </w:r>
      <w:r w:rsidRPr="00CC1034">
        <w:rPr>
          <w:rStyle w:val="st"/>
          <w:rFonts w:eastAsia="Times New Roman" w:cs="Times New Roman"/>
          <w:b w:val="0"/>
          <w:color w:val="auto"/>
          <w:lang w:val="el-GR"/>
        </w:rPr>
        <w:t>(Κανονισμός 1924/2006)</w:t>
      </w:r>
    </w:p>
    <w:p w14:paraId="650B3A6E" w14:textId="2D767147" w:rsidR="007C00DA" w:rsidRPr="00CC1034" w:rsidRDefault="00825ADF" w:rsidP="006E0D48">
      <w:pPr>
        <w:pStyle w:val="Heading3"/>
        <w:ind w:firstLine="708"/>
        <w:rPr>
          <w:color w:val="auto"/>
          <w:lang w:val="el-GR"/>
        </w:rPr>
      </w:pPr>
      <w:r w:rsidRPr="00CC1034">
        <w:rPr>
          <w:color w:val="auto"/>
          <w:lang w:val="el-GR"/>
        </w:rPr>
        <w:t>2. Η νομοθεσία περί συμβάσεων</w:t>
      </w:r>
    </w:p>
    <w:p w14:paraId="0E2EF470" w14:textId="7F08B7E8" w:rsidR="009055C8" w:rsidRPr="00CC1034" w:rsidRDefault="009055C8" w:rsidP="009055C8">
      <w:pPr>
        <w:pStyle w:val="Heading4"/>
        <w:rPr>
          <w:color w:val="auto"/>
          <w:lang w:val="el-GR"/>
        </w:rPr>
      </w:pPr>
      <w:r w:rsidRPr="00CC1034">
        <w:rPr>
          <w:color w:val="auto"/>
          <w:lang w:val="el-GR"/>
        </w:rPr>
        <w:tab/>
      </w:r>
      <w:r w:rsidRPr="00CC1034">
        <w:rPr>
          <w:color w:val="auto"/>
          <w:lang w:val="el-GR"/>
        </w:rPr>
        <w:tab/>
        <w:t>α.</w:t>
      </w:r>
      <w:r w:rsidR="00552AB7" w:rsidRPr="00CC1034">
        <w:rPr>
          <w:color w:val="auto"/>
          <w:lang w:val="el-GR"/>
        </w:rPr>
        <w:t xml:space="preserve"> </w:t>
      </w:r>
      <w:r w:rsidR="006E0D48" w:rsidRPr="00CC1034">
        <w:rPr>
          <w:color w:val="auto"/>
          <w:lang w:val="el-GR"/>
        </w:rPr>
        <w:t>Συγκεκριμένες τεχνικές</w:t>
      </w:r>
      <w:r w:rsidR="00552AB7" w:rsidRPr="00CC1034">
        <w:rPr>
          <w:color w:val="auto"/>
          <w:lang w:val="el-GR"/>
        </w:rPr>
        <w:t xml:space="preserve"> σύναψης συμβάσεων</w:t>
      </w:r>
    </w:p>
    <w:p w14:paraId="0C37E395" w14:textId="31C4DA1D" w:rsidR="00707170" w:rsidRPr="00CC1034" w:rsidRDefault="00707170" w:rsidP="00707170">
      <w:pPr>
        <w:pStyle w:val="Heading5"/>
        <w:ind w:left="708" w:firstLine="708"/>
        <w:rPr>
          <w:color w:val="auto"/>
          <w:lang w:val="el-GR"/>
        </w:rPr>
      </w:pPr>
      <w:r w:rsidRPr="00CC1034">
        <w:rPr>
          <w:color w:val="auto"/>
          <w:lang w:val="fr-FR"/>
        </w:rPr>
        <w:t>i</w:t>
      </w:r>
      <w:r w:rsidRPr="00CC1034">
        <w:rPr>
          <w:color w:val="auto"/>
          <w:lang w:val="el-GR"/>
        </w:rPr>
        <w:t>. Συμβάσεις εκτός εμπορικού καταστήματος</w:t>
      </w:r>
      <w:r w:rsidR="00A53476" w:rsidRPr="00CC1034">
        <w:rPr>
          <w:color w:val="auto"/>
          <w:lang w:val="el-GR"/>
        </w:rPr>
        <w:t xml:space="preserve"> (Ο</w:t>
      </w:r>
      <w:r w:rsidR="00660842" w:rsidRPr="00CC1034">
        <w:rPr>
          <w:color w:val="auto"/>
          <w:lang w:val="el-GR"/>
        </w:rPr>
        <w:t>δηγία 2011/83)</w:t>
      </w:r>
    </w:p>
    <w:p w14:paraId="421C5D7E" w14:textId="2A643273" w:rsidR="00707170" w:rsidRPr="00CC1034" w:rsidRDefault="00707170" w:rsidP="00707170">
      <w:pPr>
        <w:pStyle w:val="Heading5"/>
        <w:ind w:left="708" w:firstLine="708"/>
        <w:rPr>
          <w:color w:val="auto"/>
          <w:lang w:val="el-GR"/>
        </w:rPr>
      </w:pPr>
      <w:r w:rsidRPr="00CC1034">
        <w:rPr>
          <w:color w:val="auto"/>
          <w:lang w:val="fr-FR"/>
        </w:rPr>
        <w:t>ii</w:t>
      </w:r>
      <w:r w:rsidRPr="00CC1034">
        <w:rPr>
          <w:color w:val="auto"/>
          <w:lang w:val="el-GR"/>
        </w:rPr>
        <w:t>. Συμβάσεις από απόσταση</w:t>
      </w:r>
    </w:p>
    <w:p w14:paraId="58AC2283" w14:textId="34C6B5B8" w:rsidR="00707170" w:rsidRPr="00CC1034" w:rsidRDefault="00707170" w:rsidP="00945B3C">
      <w:pPr>
        <w:pStyle w:val="Heading5"/>
        <w:ind w:left="708" w:firstLine="708"/>
        <w:rPr>
          <w:color w:val="auto"/>
          <w:lang w:val="el-GR"/>
        </w:rPr>
      </w:pPr>
      <w:r w:rsidRPr="00CC1034">
        <w:rPr>
          <w:color w:val="auto"/>
        </w:rPr>
        <w:t>iii</w:t>
      </w:r>
      <w:r w:rsidRPr="00CC1034">
        <w:rPr>
          <w:color w:val="auto"/>
          <w:lang w:val="el-GR"/>
        </w:rPr>
        <w:t xml:space="preserve">. </w:t>
      </w:r>
      <w:r w:rsidR="00A53476" w:rsidRPr="00CC1034">
        <w:rPr>
          <w:color w:val="auto"/>
          <w:lang w:val="el-GR"/>
        </w:rPr>
        <w:t>Η Ο</w:t>
      </w:r>
      <w:r w:rsidR="00945B3C" w:rsidRPr="00CC1034">
        <w:rPr>
          <w:color w:val="auto"/>
          <w:lang w:val="el-GR"/>
        </w:rPr>
        <w:t xml:space="preserve">δηγία </w:t>
      </w:r>
      <w:r w:rsidR="007423C5" w:rsidRPr="00CC1034">
        <w:rPr>
          <w:color w:val="auto"/>
          <w:lang w:val="el-GR"/>
        </w:rPr>
        <w:t>2000/31</w:t>
      </w:r>
      <w:r w:rsidR="006E0D48" w:rsidRPr="00CC1034">
        <w:rPr>
          <w:color w:val="auto"/>
          <w:lang w:val="el-GR"/>
        </w:rPr>
        <w:t xml:space="preserve"> </w:t>
      </w:r>
      <w:r w:rsidR="00945B3C" w:rsidRPr="00CC1034">
        <w:rPr>
          <w:color w:val="auto"/>
          <w:lang w:val="el-GR"/>
        </w:rPr>
        <w:t>για το ηλεκ</w:t>
      </w:r>
      <w:r w:rsidR="007423C5" w:rsidRPr="00CC1034">
        <w:rPr>
          <w:color w:val="auto"/>
          <w:lang w:val="el-GR"/>
        </w:rPr>
        <w:t xml:space="preserve">τρονικό εμπόριο </w:t>
      </w:r>
    </w:p>
    <w:p w14:paraId="3A643106" w14:textId="65F8DA53" w:rsidR="009055C8" w:rsidRPr="00CC1034" w:rsidRDefault="009055C8" w:rsidP="009055C8">
      <w:pPr>
        <w:pStyle w:val="Heading4"/>
        <w:rPr>
          <w:color w:val="auto"/>
          <w:lang w:val="el-GR"/>
        </w:rPr>
      </w:pPr>
      <w:r w:rsidRPr="00CC1034">
        <w:rPr>
          <w:color w:val="auto"/>
          <w:lang w:val="el-GR"/>
        </w:rPr>
        <w:tab/>
      </w:r>
      <w:r w:rsidRPr="00CC1034">
        <w:rPr>
          <w:color w:val="auto"/>
          <w:lang w:val="el-GR"/>
        </w:rPr>
        <w:tab/>
        <w:t>β.</w:t>
      </w:r>
      <w:r w:rsidR="00552AB7" w:rsidRPr="00CC1034">
        <w:rPr>
          <w:color w:val="auto"/>
          <w:lang w:val="el-GR"/>
        </w:rPr>
        <w:t xml:space="preserve"> Καταχρηστικές ρήτρες και αθέμιτες εμπορικές πρακτικές</w:t>
      </w:r>
    </w:p>
    <w:p w14:paraId="2D27634D" w14:textId="792C13DF" w:rsidR="007423C5" w:rsidRPr="00CC1034" w:rsidRDefault="007423C5" w:rsidP="007423C5">
      <w:pPr>
        <w:pStyle w:val="Heading5"/>
        <w:ind w:left="708" w:firstLine="708"/>
        <w:rPr>
          <w:color w:val="auto"/>
          <w:lang w:val="el-GR"/>
        </w:rPr>
      </w:pPr>
      <w:r w:rsidRPr="00CC1034">
        <w:rPr>
          <w:color w:val="auto"/>
          <w:lang w:val="fr-FR"/>
        </w:rPr>
        <w:t>i</w:t>
      </w:r>
      <w:r w:rsidRPr="00CC1034">
        <w:rPr>
          <w:color w:val="auto"/>
          <w:lang w:val="el-GR"/>
        </w:rPr>
        <w:t xml:space="preserve">. </w:t>
      </w:r>
      <w:r w:rsidR="00A53476" w:rsidRPr="00CC1034">
        <w:rPr>
          <w:color w:val="auto"/>
          <w:lang w:val="el-GR"/>
        </w:rPr>
        <w:t>H Ο</w:t>
      </w:r>
      <w:r w:rsidRPr="00CC1034">
        <w:rPr>
          <w:color w:val="auto"/>
          <w:lang w:val="el-GR"/>
        </w:rPr>
        <w:t>δηγία 2005/29 για τις αθέμιτες εμπορικές πρακτικές</w:t>
      </w:r>
    </w:p>
    <w:p w14:paraId="1C5AF6F4" w14:textId="67941BEC" w:rsidR="007423C5" w:rsidRPr="00CC1034" w:rsidRDefault="007423C5" w:rsidP="006E0D48">
      <w:pPr>
        <w:pStyle w:val="Heading5"/>
        <w:ind w:left="708" w:firstLine="708"/>
        <w:rPr>
          <w:color w:val="auto"/>
          <w:lang w:val="el-GR"/>
        </w:rPr>
      </w:pPr>
      <w:r w:rsidRPr="00CC1034">
        <w:rPr>
          <w:color w:val="auto"/>
          <w:lang w:val="fr-FR"/>
        </w:rPr>
        <w:t>ii</w:t>
      </w:r>
      <w:r w:rsidR="00A53476" w:rsidRPr="00CC1034">
        <w:rPr>
          <w:color w:val="auto"/>
          <w:lang w:val="el-GR"/>
        </w:rPr>
        <w:t>. Η Ο</w:t>
      </w:r>
      <w:r w:rsidRPr="00CC1034">
        <w:rPr>
          <w:color w:val="auto"/>
          <w:lang w:val="el-GR"/>
        </w:rPr>
        <w:t>δηγία 93/13 για τις καταχρηστικές ρήτρες των συμβάσεων</w:t>
      </w:r>
    </w:p>
    <w:p w14:paraId="51DDA26B" w14:textId="68C0B4B2" w:rsidR="009055C8" w:rsidRPr="00CC1034" w:rsidRDefault="009055C8" w:rsidP="006E0D48">
      <w:pPr>
        <w:pStyle w:val="Heading4"/>
        <w:ind w:left="708" w:firstLine="708"/>
        <w:rPr>
          <w:color w:val="auto"/>
          <w:lang w:val="el-GR"/>
        </w:rPr>
      </w:pPr>
      <w:r w:rsidRPr="00CC1034">
        <w:rPr>
          <w:color w:val="auto"/>
          <w:lang w:val="el-GR"/>
        </w:rPr>
        <w:t>γ.</w:t>
      </w:r>
      <w:r w:rsidR="00552AB7" w:rsidRPr="00CC1034">
        <w:rPr>
          <w:color w:val="auto"/>
          <w:lang w:val="el-GR"/>
        </w:rPr>
        <w:t xml:space="preserve"> Ειδική νομοθεσία </w:t>
      </w:r>
    </w:p>
    <w:p w14:paraId="1AB86429" w14:textId="07035B6E" w:rsidR="00945B3C" w:rsidRPr="00CC1034" w:rsidRDefault="00945B3C" w:rsidP="00945B3C">
      <w:pPr>
        <w:pStyle w:val="Heading5"/>
        <w:rPr>
          <w:color w:val="auto"/>
          <w:lang w:val="el-GR"/>
        </w:rPr>
      </w:pPr>
      <w:r w:rsidRPr="00CC1034">
        <w:rPr>
          <w:color w:val="auto"/>
          <w:lang w:val="el-GR"/>
        </w:rPr>
        <w:tab/>
      </w:r>
      <w:r w:rsidRPr="00CC1034">
        <w:rPr>
          <w:color w:val="auto"/>
          <w:lang w:val="el-GR"/>
        </w:rPr>
        <w:tab/>
      </w:r>
      <w:r w:rsidRPr="00CC1034">
        <w:rPr>
          <w:color w:val="auto"/>
          <w:lang w:val="fr-FR"/>
        </w:rPr>
        <w:t>i</w:t>
      </w:r>
      <w:r w:rsidRPr="00CC1034">
        <w:rPr>
          <w:color w:val="auto"/>
          <w:lang w:val="el-GR"/>
        </w:rPr>
        <w:t>.</w:t>
      </w:r>
      <w:r w:rsidR="00660842" w:rsidRPr="00CC1034">
        <w:rPr>
          <w:color w:val="auto"/>
          <w:lang w:val="el-GR"/>
        </w:rPr>
        <w:t xml:space="preserve"> </w:t>
      </w:r>
      <w:r w:rsidR="006E0D48" w:rsidRPr="00CC1034">
        <w:rPr>
          <w:color w:val="auto"/>
          <w:lang w:val="el-GR"/>
        </w:rPr>
        <w:t>Οι χρηματοπιστωτικές υπηρεσίες</w:t>
      </w:r>
    </w:p>
    <w:p w14:paraId="765601E7" w14:textId="7ACA599D" w:rsidR="00945B3C" w:rsidRPr="00CC1034" w:rsidRDefault="00945B3C" w:rsidP="00945B3C">
      <w:pPr>
        <w:pStyle w:val="Heading5"/>
        <w:ind w:left="1418"/>
        <w:rPr>
          <w:color w:val="auto"/>
          <w:lang w:val="el-GR"/>
        </w:rPr>
      </w:pPr>
      <w:r w:rsidRPr="00CC1034">
        <w:rPr>
          <w:color w:val="auto"/>
          <w:lang w:val="fr-FR"/>
        </w:rPr>
        <w:t>ii</w:t>
      </w:r>
      <w:r w:rsidRPr="00CC1034">
        <w:rPr>
          <w:color w:val="auto"/>
          <w:lang w:val="el-GR"/>
        </w:rPr>
        <w:t>.</w:t>
      </w:r>
      <w:r w:rsidR="006E0D48" w:rsidRPr="00CC1034">
        <w:rPr>
          <w:color w:val="auto"/>
          <w:lang w:val="el-GR"/>
        </w:rPr>
        <w:t xml:space="preserve"> Οι συμβάσεις καταναλωτικής πίστης</w:t>
      </w:r>
    </w:p>
    <w:p w14:paraId="398278BE" w14:textId="25087D9D" w:rsidR="00945B3C" w:rsidRPr="00CC1034" w:rsidRDefault="00945B3C" w:rsidP="00945B3C">
      <w:pPr>
        <w:pStyle w:val="Heading5"/>
        <w:ind w:left="1418"/>
        <w:rPr>
          <w:color w:val="auto"/>
          <w:lang w:val="el-GR"/>
        </w:rPr>
      </w:pPr>
      <w:r w:rsidRPr="00CC1034">
        <w:rPr>
          <w:color w:val="auto"/>
          <w:lang w:val="fr-FR"/>
        </w:rPr>
        <w:t>iii</w:t>
      </w:r>
      <w:r w:rsidRPr="00CC1034">
        <w:rPr>
          <w:color w:val="auto"/>
          <w:lang w:val="el-GR"/>
        </w:rPr>
        <w:t>.</w:t>
      </w:r>
      <w:r w:rsidR="006E0D48" w:rsidRPr="00CC1034">
        <w:rPr>
          <w:color w:val="auto"/>
          <w:lang w:val="el-GR"/>
        </w:rPr>
        <w:t xml:space="preserve"> Τα οργανωμένα ταξίδια</w:t>
      </w:r>
      <w:r w:rsidR="007E4571" w:rsidRPr="00CC1034">
        <w:rPr>
          <w:color w:val="auto"/>
          <w:lang w:val="el-GR"/>
        </w:rPr>
        <w:t xml:space="preserve"> και οι αεροπορικές μεταφορές</w:t>
      </w:r>
    </w:p>
    <w:p w14:paraId="61031A83" w14:textId="6015E222" w:rsidR="00825ADF" w:rsidRPr="00CC1034" w:rsidRDefault="00825ADF" w:rsidP="00825ADF">
      <w:pPr>
        <w:pStyle w:val="Heading3"/>
        <w:rPr>
          <w:color w:val="auto"/>
          <w:lang w:val="el-GR"/>
        </w:rPr>
      </w:pPr>
      <w:r w:rsidRPr="00CC1034">
        <w:rPr>
          <w:color w:val="auto"/>
          <w:lang w:val="el-GR"/>
        </w:rPr>
        <w:tab/>
        <w:t>3. Η δικαστική προστασία του καταναλωτή</w:t>
      </w:r>
    </w:p>
    <w:p w14:paraId="05E5FE75" w14:textId="392B107C" w:rsidR="00E041E4" w:rsidRPr="00CC1034" w:rsidRDefault="00E041E4" w:rsidP="00E041E4">
      <w:pPr>
        <w:pStyle w:val="Heading5"/>
        <w:ind w:left="1418"/>
        <w:rPr>
          <w:color w:val="auto"/>
          <w:lang w:val="el-GR"/>
        </w:rPr>
      </w:pPr>
      <w:proofErr w:type="gramStart"/>
      <w:r w:rsidRPr="00CC1034">
        <w:rPr>
          <w:color w:val="auto"/>
          <w:lang w:val="fr-FR"/>
        </w:rPr>
        <w:t>i</w:t>
      </w:r>
      <w:proofErr w:type="gramEnd"/>
      <w:r w:rsidRPr="00CC1034">
        <w:rPr>
          <w:color w:val="auto"/>
          <w:lang w:val="el-GR"/>
        </w:rPr>
        <w:t>. H συλλογική αγωγή</w:t>
      </w:r>
    </w:p>
    <w:p w14:paraId="56CCB26E" w14:textId="65419347" w:rsidR="00E041E4" w:rsidRPr="00CC1034" w:rsidRDefault="00E041E4" w:rsidP="00E041E4">
      <w:pPr>
        <w:pStyle w:val="Heading5"/>
        <w:ind w:left="1418"/>
        <w:rPr>
          <w:color w:val="auto"/>
          <w:lang w:val="el-GR"/>
        </w:rPr>
      </w:pPr>
      <w:r w:rsidRPr="00CC1034">
        <w:rPr>
          <w:color w:val="auto"/>
          <w:lang w:val="fr-FR"/>
        </w:rPr>
        <w:t>ii</w:t>
      </w:r>
      <w:r w:rsidR="00A53476" w:rsidRPr="00CC1034">
        <w:rPr>
          <w:color w:val="auto"/>
          <w:lang w:val="el-GR"/>
        </w:rPr>
        <w:t>. Ο Κ</w:t>
      </w:r>
      <w:r w:rsidRPr="00CC1034">
        <w:rPr>
          <w:color w:val="auto"/>
          <w:lang w:val="el-GR"/>
        </w:rPr>
        <w:t xml:space="preserve">ανονισμός 1215/2012 </w:t>
      </w:r>
      <w:r w:rsidRPr="00CC1034">
        <w:rPr>
          <w:rStyle w:val="Strong"/>
          <w:rFonts w:eastAsia="Times New Roman" w:cs="Times New Roman"/>
          <w:b w:val="0"/>
          <w:color w:val="auto"/>
          <w:lang w:val="el-GR"/>
        </w:rPr>
        <w:t>για τη διεθνή δικαιοδοσία, την αναγνώριση και την εκτέλεση αποφάσεων σε αστικές και εμπορικές υποθέσεις</w:t>
      </w:r>
    </w:p>
    <w:p w14:paraId="54D249FE" w14:textId="52966DC1" w:rsidR="00E041E4" w:rsidRPr="00CC1034" w:rsidRDefault="00E041E4" w:rsidP="00E041E4">
      <w:pPr>
        <w:pStyle w:val="Heading3"/>
        <w:ind w:firstLine="708"/>
        <w:rPr>
          <w:color w:val="auto"/>
          <w:lang w:val="el-GR"/>
        </w:rPr>
      </w:pPr>
      <w:r w:rsidRPr="00CC1034">
        <w:rPr>
          <w:color w:val="auto"/>
          <w:lang w:val="el-GR"/>
        </w:rPr>
        <w:t>4. Η εξωδικαστική προστασία του καταναλωτή</w:t>
      </w:r>
    </w:p>
    <w:p w14:paraId="226D6D04" w14:textId="28BB84C5" w:rsidR="00E041E4" w:rsidRPr="00CC1034" w:rsidRDefault="00E041E4" w:rsidP="00E041E4">
      <w:pPr>
        <w:pStyle w:val="Heading5"/>
        <w:ind w:left="1418"/>
        <w:rPr>
          <w:color w:val="auto"/>
          <w:lang w:val="el-GR"/>
        </w:rPr>
      </w:pPr>
      <w:r w:rsidRPr="00CC1034">
        <w:rPr>
          <w:color w:val="auto"/>
          <w:lang w:val="fr-FR"/>
        </w:rPr>
        <w:t>i</w:t>
      </w:r>
      <w:r w:rsidRPr="00CC1034">
        <w:rPr>
          <w:color w:val="auto"/>
          <w:lang w:val="el-GR"/>
        </w:rPr>
        <w:t xml:space="preserve">. </w:t>
      </w:r>
      <w:r w:rsidR="00A53476" w:rsidRPr="00CC1034">
        <w:rPr>
          <w:color w:val="auto"/>
          <w:lang w:val="el-GR"/>
        </w:rPr>
        <w:t>H Ο</w:t>
      </w:r>
      <w:r w:rsidR="007423C5" w:rsidRPr="00CC1034">
        <w:rPr>
          <w:color w:val="auto"/>
          <w:lang w:val="el-GR"/>
        </w:rPr>
        <w:t>δηγία 2013/11 για την εναλλακτική επίλυση καταναλωτικών διαφορών</w:t>
      </w:r>
    </w:p>
    <w:p w14:paraId="5AFC00D4" w14:textId="17E8B639" w:rsidR="00E041E4" w:rsidRPr="00CC1034" w:rsidRDefault="00E041E4" w:rsidP="00E041E4">
      <w:pPr>
        <w:pStyle w:val="Heading5"/>
        <w:ind w:left="1418"/>
        <w:rPr>
          <w:color w:val="auto"/>
          <w:lang w:val="el-GR"/>
        </w:rPr>
      </w:pPr>
      <w:r w:rsidRPr="00CC1034">
        <w:rPr>
          <w:color w:val="auto"/>
          <w:lang w:val="fr-FR"/>
        </w:rPr>
        <w:t>ii</w:t>
      </w:r>
      <w:r w:rsidRPr="00CC1034">
        <w:rPr>
          <w:color w:val="auto"/>
          <w:lang w:val="el-GR"/>
        </w:rPr>
        <w:t xml:space="preserve">. Κανονισμός 524/2013 για </w:t>
      </w:r>
      <w:r w:rsidR="007423C5" w:rsidRPr="00CC1034">
        <w:rPr>
          <w:color w:val="auto"/>
          <w:lang w:val="el-GR"/>
        </w:rPr>
        <w:t>την ηλεκτρονική επίλυση καταναλωτικών διαφορών</w:t>
      </w:r>
    </w:p>
    <w:p w14:paraId="57CDBE8C" w14:textId="623D8983" w:rsidR="00E041E4" w:rsidRPr="00CC1034" w:rsidRDefault="00E041E4" w:rsidP="00E041E4">
      <w:pPr>
        <w:pStyle w:val="Heading5"/>
        <w:ind w:left="1418"/>
        <w:rPr>
          <w:color w:val="auto"/>
          <w:lang w:val="el-GR"/>
        </w:rPr>
      </w:pPr>
      <w:r w:rsidRPr="00CC1034">
        <w:rPr>
          <w:color w:val="auto"/>
          <w:lang w:val="fr-FR"/>
        </w:rPr>
        <w:t>iii</w:t>
      </w:r>
      <w:r w:rsidRPr="00CC1034">
        <w:rPr>
          <w:color w:val="auto"/>
          <w:lang w:val="el-GR"/>
        </w:rPr>
        <w:t>.</w:t>
      </w:r>
      <w:r w:rsidR="007423C5" w:rsidRPr="00CC1034">
        <w:rPr>
          <w:color w:val="auto"/>
          <w:lang w:val="el-GR"/>
        </w:rPr>
        <w:t xml:space="preserve"> Το δίκτυο </w:t>
      </w:r>
      <w:r w:rsidR="007423C5" w:rsidRPr="00CC1034">
        <w:rPr>
          <w:color w:val="auto"/>
          <w:lang w:val="fr-FR"/>
        </w:rPr>
        <w:t>SOLVIT</w:t>
      </w:r>
    </w:p>
    <w:p w14:paraId="21A62DF6" w14:textId="61FC050F" w:rsidR="00E041E4" w:rsidRPr="00CC1034" w:rsidRDefault="00E041E4" w:rsidP="00E041E4">
      <w:pPr>
        <w:pStyle w:val="Heading5"/>
        <w:ind w:left="1418"/>
        <w:rPr>
          <w:color w:val="auto"/>
          <w:lang w:val="el-GR"/>
        </w:rPr>
      </w:pPr>
      <w:r w:rsidRPr="00CC1034">
        <w:rPr>
          <w:color w:val="auto"/>
          <w:lang w:val="fr-FR"/>
        </w:rPr>
        <w:t>iv</w:t>
      </w:r>
      <w:r w:rsidRPr="00CC1034">
        <w:rPr>
          <w:color w:val="auto"/>
          <w:lang w:val="el-GR"/>
        </w:rPr>
        <w:t>.</w:t>
      </w:r>
      <w:r w:rsidR="007423C5" w:rsidRPr="00CC1034">
        <w:rPr>
          <w:color w:val="auto"/>
          <w:lang w:val="el-GR"/>
        </w:rPr>
        <w:t xml:space="preserve"> Το Ευρωπαϊκό Κέντρο Καταναλωτή</w:t>
      </w:r>
    </w:p>
    <w:p w14:paraId="03506406" w14:textId="77777777" w:rsidR="00825ADF" w:rsidRPr="00CC1034" w:rsidRDefault="00825ADF" w:rsidP="003E0773">
      <w:pPr>
        <w:pStyle w:val="Heading2"/>
        <w:rPr>
          <w:color w:val="auto"/>
          <w:lang w:val="el-GR"/>
        </w:rPr>
      </w:pPr>
    </w:p>
    <w:p w14:paraId="6EF2EB22" w14:textId="5AD310C2" w:rsidR="005920E6" w:rsidRPr="00CC1034" w:rsidRDefault="003E0773" w:rsidP="003E0773">
      <w:pPr>
        <w:pStyle w:val="Heading2"/>
        <w:rPr>
          <w:color w:val="auto"/>
          <w:lang w:val="el-GR"/>
        </w:rPr>
      </w:pPr>
      <w:r w:rsidRPr="00CC1034">
        <w:rPr>
          <w:color w:val="auto"/>
          <w:lang w:val="el-GR"/>
        </w:rPr>
        <w:t>Γ.</w:t>
      </w:r>
      <w:r w:rsidR="00025531" w:rsidRPr="00CC1034">
        <w:rPr>
          <w:color w:val="auto"/>
          <w:lang w:val="el-GR"/>
        </w:rPr>
        <w:t xml:space="preserve"> Η προστασία της υγείας και της ασφάλειας του καταναλωτή</w:t>
      </w:r>
    </w:p>
    <w:p w14:paraId="19C9CFC8" w14:textId="142CDF88" w:rsidR="00904A23" w:rsidRPr="00CC1034" w:rsidRDefault="007C00DA" w:rsidP="007C00DA">
      <w:pPr>
        <w:pStyle w:val="Heading3"/>
        <w:rPr>
          <w:b w:val="0"/>
          <w:color w:val="auto"/>
          <w:lang w:val="el-GR"/>
        </w:rPr>
      </w:pPr>
      <w:r w:rsidRPr="00CC1034">
        <w:rPr>
          <w:color w:val="auto"/>
          <w:lang w:val="el-GR"/>
        </w:rPr>
        <w:tab/>
        <w:t>1.</w:t>
      </w:r>
      <w:r w:rsidR="00904A23" w:rsidRPr="00CC1034">
        <w:rPr>
          <w:color w:val="auto"/>
          <w:lang w:val="el-GR"/>
        </w:rPr>
        <w:t xml:space="preserve"> Η γενική ασφάλεια των προϊόντων</w:t>
      </w:r>
      <w:r w:rsidRPr="00CC1034">
        <w:rPr>
          <w:color w:val="auto"/>
          <w:lang w:val="el-GR"/>
        </w:rPr>
        <w:t xml:space="preserve"> </w:t>
      </w:r>
      <w:r w:rsidR="00904A23" w:rsidRPr="00CC1034">
        <w:rPr>
          <w:b w:val="0"/>
          <w:color w:val="auto"/>
          <w:lang w:val="el-GR"/>
        </w:rPr>
        <w:t>(οδηγία 2001/95)</w:t>
      </w:r>
    </w:p>
    <w:p w14:paraId="6DD15E2C" w14:textId="70143A97" w:rsidR="007423C5" w:rsidRPr="00CC1034" w:rsidRDefault="007423C5" w:rsidP="007423C5">
      <w:pPr>
        <w:pStyle w:val="Heading3"/>
        <w:ind w:firstLine="708"/>
        <w:rPr>
          <w:color w:val="auto"/>
          <w:lang w:val="el-GR"/>
        </w:rPr>
      </w:pPr>
      <w:r w:rsidRPr="00CC1034">
        <w:rPr>
          <w:color w:val="auto"/>
          <w:lang w:val="el-GR"/>
        </w:rPr>
        <w:t xml:space="preserve">2. Η ευθύνη του παραγωγού για ελαττωματικά προϊόντα </w:t>
      </w:r>
      <w:r w:rsidRPr="00CC1034">
        <w:rPr>
          <w:b w:val="0"/>
          <w:color w:val="auto"/>
          <w:lang w:val="el-GR"/>
        </w:rPr>
        <w:t>(οδηγία 85/374)</w:t>
      </w:r>
      <w:r w:rsidR="00904A23" w:rsidRPr="00CC1034">
        <w:rPr>
          <w:color w:val="auto"/>
          <w:lang w:val="el-GR"/>
        </w:rPr>
        <w:tab/>
      </w:r>
    </w:p>
    <w:p w14:paraId="18882047" w14:textId="1FDFE8BA" w:rsidR="00904A23" w:rsidRPr="00CC1034" w:rsidRDefault="007423C5" w:rsidP="007423C5">
      <w:pPr>
        <w:pStyle w:val="Heading3"/>
        <w:ind w:firstLine="708"/>
        <w:rPr>
          <w:color w:val="auto"/>
          <w:lang w:val="el-GR"/>
        </w:rPr>
      </w:pPr>
      <w:r w:rsidRPr="00CC1034">
        <w:rPr>
          <w:color w:val="auto"/>
          <w:lang w:val="el-GR"/>
        </w:rPr>
        <w:t>3</w:t>
      </w:r>
      <w:r w:rsidR="00904A23" w:rsidRPr="00CC1034">
        <w:rPr>
          <w:color w:val="auto"/>
          <w:lang w:val="el-GR"/>
        </w:rPr>
        <w:t>. Τομεακή νομοθεσία</w:t>
      </w:r>
    </w:p>
    <w:p w14:paraId="6A41A2A3" w14:textId="659B767F" w:rsidR="00904A23" w:rsidRPr="00CC1034" w:rsidRDefault="00904A23" w:rsidP="00904A23">
      <w:pPr>
        <w:pStyle w:val="Heading4"/>
        <w:rPr>
          <w:color w:val="auto"/>
          <w:lang w:val="el-GR"/>
        </w:rPr>
      </w:pPr>
      <w:r w:rsidRPr="00CC1034">
        <w:rPr>
          <w:color w:val="auto"/>
          <w:lang w:val="el-GR"/>
        </w:rPr>
        <w:tab/>
      </w:r>
      <w:r w:rsidRPr="00CC1034">
        <w:rPr>
          <w:color w:val="auto"/>
          <w:lang w:val="el-GR"/>
        </w:rPr>
        <w:tab/>
        <w:t xml:space="preserve">α. Η οδηγία για την ασφάλεια των παιχνιδιών </w:t>
      </w:r>
      <w:r w:rsidRPr="00CC1034">
        <w:rPr>
          <w:b w:val="0"/>
          <w:color w:val="auto"/>
          <w:lang w:val="el-GR"/>
        </w:rPr>
        <w:t>(οδηγία 2009/48)</w:t>
      </w:r>
      <w:r w:rsidRPr="00CC1034">
        <w:rPr>
          <w:color w:val="auto"/>
          <w:lang w:val="el-GR"/>
        </w:rPr>
        <w:t xml:space="preserve"> </w:t>
      </w:r>
    </w:p>
    <w:p w14:paraId="181DD1AA" w14:textId="68FAE32A" w:rsidR="00904A23" w:rsidRPr="00CC1034" w:rsidRDefault="00904A23" w:rsidP="00BE62AF">
      <w:pPr>
        <w:pStyle w:val="Heading4"/>
        <w:ind w:left="708" w:firstLine="708"/>
        <w:rPr>
          <w:color w:val="auto"/>
          <w:lang w:val="el-GR"/>
        </w:rPr>
      </w:pPr>
      <w:r w:rsidRPr="00CC1034">
        <w:rPr>
          <w:color w:val="auto"/>
          <w:lang w:val="el-GR"/>
        </w:rPr>
        <w:t>β.</w:t>
      </w:r>
      <w:r w:rsidR="0029087E" w:rsidRPr="00CC1034">
        <w:rPr>
          <w:color w:val="auto"/>
          <w:lang w:val="el-GR"/>
        </w:rPr>
        <w:t xml:space="preserve"> Η νομοθεσία για την ασφάλεια και την υγιεινή των τροφίμων</w:t>
      </w:r>
    </w:p>
    <w:p w14:paraId="4B0123F9" w14:textId="171BC58F" w:rsidR="00904A23" w:rsidRPr="00CC1034" w:rsidRDefault="0029087E" w:rsidP="00825ADF">
      <w:pPr>
        <w:pStyle w:val="Heading5"/>
        <w:ind w:left="1416" w:firstLine="4"/>
        <w:rPr>
          <w:color w:val="auto"/>
          <w:lang w:val="el-GR"/>
        </w:rPr>
      </w:pPr>
      <w:r w:rsidRPr="00CC1034">
        <w:rPr>
          <w:color w:val="auto"/>
          <w:lang w:val="fr-FR"/>
        </w:rPr>
        <w:t>i</w:t>
      </w:r>
      <w:r w:rsidRPr="00CC1034">
        <w:rPr>
          <w:color w:val="auto"/>
          <w:lang w:val="el-GR"/>
        </w:rPr>
        <w:t xml:space="preserve">. </w:t>
      </w:r>
      <w:r w:rsidR="00825ADF" w:rsidRPr="00CC1034">
        <w:rPr>
          <w:color w:val="auto"/>
          <w:lang w:val="el-GR"/>
        </w:rPr>
        <w:t>Γενικές αρχές και διαδικασίες σε θέματα ασφάλειας των τροφίμων – η ίδρυση της Ευρωπαϊκής Αρχής για την Ασφάλεια των Τροφίμων (Κανονισμός 178/2002)</w:t>
      </w:r>
    </w:p>
    <w:p w14:paraId="1F76AB4F" w14:textId="78CAC35D" w:rsidR="00825ADF" w:rsidRPr="00CC1034" w:rsidRDefault="00825ADF" w:rsidP="00825ADF">
      <w:pPr>
        <w:pStyle w:val="Heading5"/>
        <w:rPr>
          <w:color w:val="auto"/>
          <w:lang w:val="el-GR"/>
        </w:rPr>
      </w:pPr>
      <w:r w:rsidRPr="00CC1034">
        <w:rPr>
          <w:color w:val="auto"/>
          <w:lang w:val="el-GR"/>
        </w:rPr>
        <w:tab/>
      </w:r>
      <w:r w:rsidRPr="00CC1034">
        <w:rPr>
          <w:color w:val="auto"/>
          <w:lang w:val="el-GR"/>
        </w:rPr>
        <w:tab/>
      </w:r>
      <w:r w:rsidRPr="00CC1034">
        <w:rPr>
          <w:color w:val="auto"/>
          <w:lang w:val="fr-FR"/>
        </w:rPr>
        <w:t>ii</w:t>
      </w:r>
      <w:r w:rsidRPr="00CC1034">
        <w:rPr>
          <w:color w:val="auto"/>
          <w:lang w:val="el-GR"/>
        </w:rPr>
        <w:t xml:space="preserve">. Υγειονομική νομοθεσία </w:t>
      </w:r>
    </w:p>
    <w:p w14:paraId="7FF2D1D7" w14:textId="093E0930" w:rsidR="00825ADF" w:rsidRPr="00CC1034" w:rsidRDefault="00825ADF" w:rsidP="00825ADF">
      <w:pPr>
        <w:pStyle w:val="Heading5"/>
        <w:rPr>
          <w:color w:val="auto"/>
          <w:lang w:val="el-GR"/>
        </w:rPr>
      </w:pPr>
      <w:r w:rsidRPr="00CC1034">
        <w:rPr>
          <w:color w:val="auto"/>
          <w:lang w:val="el-GR"/>
        </w:rPr>
        <w:tab/>
      </w:r>
      <w:r w:rsidRPr="00CC1034">
        <w:rPr>
          <w:color w:val="auto"/>
          <w:lang w:val="el-GR"/>
        </w:rPr>
        <w:tab/>
      </w:r>
      <w:r w:rsidRPr="00CC1034">
        <w:rPr>
          <w:color w:val="auto"/>
          <w:lang w:val="fr-FR"/>
        </w:rPr>
        <w:t>iii</w:t>
      </w:r>
      <w:r w:rsidRPr="00CC1034">
        <w:rPr>
          <w:color w:val="auto"/>
          <w:lang w:val="el-GR"/>
        </w:rPr>
        <w:t xml:space="preserve">. Νομοθεσία σχετική με τους Γενετικώς </w:t>
      </w:r>
      <w:r w:rsidR="00C82F24" w:rsidRPr="00CC1034">
        <w:rPr>
          <w:color w:val="auto"/>
          <w:lang w:val="el-GR"/>
        </w:rPr>
        <w:t>Τροποποιημένους</w:t>
      </w:r>
      <w:r w:rsidRPr="00CC1034">
        <w:rPr>
          <w:color w:val="auto"/>
          <w:lang w:val="el-GR"/>
        </w:rPr>
        <w:t xml:space="preserve"> Οργανισμούς</w:t>
      </w:r>
    </w:p>
    <w:p w14:paraId="564D7799" w14:textId="51C7BEA2" w:rsidR="0048579D" w:rsidRPr="00CC1034" w:rsidRDefault="0048579D" w:rsidP="0048579D">
      <w:pPr>
        <w:pStyle w:val="Heading3"/>
        <w:rPr>
          <w:color w:val="auto"/>
          <w:lang w:val="el-GR"/>
        </w:rPr>
      </w:pPr>
    </w:p>
    <w:p w14:paraId="63A456F9" w14:textId="01758C39" w:rsidR="003E0773" w:rsidRPr="00CC1034" w:rsidRDefault="003E0773" w:rsidP="003E0773">
      <w:pPr>
        <w:pStyle w:val="Heading2"/>
        <w:rPr>
          <w:color w:val="auto"/>
          <w:lang w:val="el-GR"/>
        </w:rPr>
      </w:pPr>
      <w:r w:rsidRPr="00CC1034">
        <w:rPr>
          <w:color w:val="auto"/>
          <w:lang w:val="el-GR"/>
        </w:rPr>
        <w:t>Δ.</w:t>
      </w:r>
      <w:r w:rsidR="00825ADF" w:rsidRPr="00CC1034">
        <w:rPr>
          <w:color w:val="auto"/>
          <w:lang w:val="el-GR"/>
        </w:rPr>
        <w:t xml:space="preserve"> </w:t>
      </w:r>
      <w:r w:rsidR="00D83B46" w:rsidRPr="00CC1034">
        <w:rPr>
          <w:color w:val="auto"/>
          <w:lang w:val="el-GR"/>
        </w:rPr>
        <w:t xml:space="preserve">Η σχέση της </w:t>
      </w:r>
      <w:r w:rsidR="00030676" w:rsidRPr="00CC1034">
        <w:rPr>
          <w:color w:val="auto"/>
          <w:lang w:val="el-GR"/>
        </w:rPr>
        <w:t xml:space="preserve">πολιτικής για την προστασία του καταναλωτή με </w:t>
      </w:r>
      <w:r w:rsidR="006E0D48" w:rsidRPr="00CC1034">
        <w:rPr>
          <w:color w:val="auto"/>
          <w:lang w:val="el-GR"/>
        </w:rPr>
        <w:t>την πολιτική ανταγωνισμού</w:t>
      </w:r>
    </w:p>
    <w:p w14:paraId="06218B43" w14:textId="2EC6345F" w:rsidR="00F06E20" w:rsidRPr="00B540EF" w:rsidRDefault="00BD5C9E" w:rsidP="002F233B">
      <w:pPr>
        <w:pStyle w:val="Heading1"/>
        <w:jc w:val="center"/>
        <w:rPr>
          <w:color w:val="1F497D" w:themeColor="text2"/>
          <w:lang w:val="el-GR"/>
        </w:rPr>
      </w:pPr>
      <w:r w:rsidRPr="00B540EF">
        <w:rPr>
          <w:color w:val="1F497D" w:themeColor="text2"/>
          <w:lang w:val="en-GB"/>
        </w:rPr>
        <w:t>IV</w:t>
      </w:r>
      <w:r w:rsidRPr="00B540EF">
        <w:rPr>
          <w:color w:val="1F497D" w:themeColor="text2"/>
          <w:lang w:val="el-GR"/>
        </w:rPr>
        <w:t xml:space="preserve">. </w:t>
      </w:r>
      <w:r w:rsidR="00D53E9D" w:rsidRPr="00B540EF">
        <w:rPr>
          <w:color w:val="1F497D" w:themeColor="text2"/>
          <w:lang w:val="el-GR"/>
        </w:rPr>
        <w:t>Ενωσιακοί</w:t>
      </w:r>
      <w:r w:rsidR="00F06E20" w:rsidRPr="00B540EF">
        <w:rPr>
          <w:color w:val="1F497D" w:themeColor="text2"/>
          <w:lang w:val="el-GR"/>
        </w:rPr>
        <w:t xml:space="preserve"> </w:t>
      </w:r>
      <w:r w:rsidR="00D53E9D" w:rsidRPr="00B540EF">
        <w:rPr>
          <w:color w:val="1F497D" w:themeColor="text2"/>
          <w:lang w:val="el-GR"/>
        </w:rPr>
        <w:t>κανόνες</w:t>
      </w:r>
      <w:r w:rsidR="00F06E20" w:rsidRPr="00B540EF">
        <w:rPr>
          <w:color w:val="1F497D" w:themeColor="text2"/>
          <w:lang w:val="el-GR"/>
        </w:rPr>
        <w:t xml:space="preserve"> για τις δημόσιες συμβάσεις</w:t>
      </w:r>
    </w:p>
    <w:p w14:paraId="1BDF2AB0" w14:textId="3F550AD2" w:rsidR="00F06E20" w:rsidRPr="00CC1034" w:rsidRDefault="00030676" w:rsidP="00030676">
      <w:pPr>
        <w:pStyle w:val="Heading2"/>
        <w:rPr>
          <w:color w:val="auto"/>
          <w:lang w:val="el-GR"/>
        </w:rPr>
      </w:pPr>
      <w:r w:rsidRPr="00CC1034">
        <w:rPr>
          <w:color w:val="auto"/>
          <w:lang w:val="el-GR"/>
        </w:rPr>
        <w:t>Α. Νομική βάση για τη ρύθμιση των δημοσίων συμβάσεων σε ενωσιακό επίπεδο</w:t>
      </w:r>
    </w:p>
    <w:p w14:paraId="27F84B61" w14:textId="71547028" w:rsidR="00030676" w:rsidRPr="00CC1034" w:rsidRDefault="00030676" w:rsidP="00030676">
      <w:pPr>
        <w:pStyle w:val="Heading2"/>
        <w:rPr>
          <w:color w:val="auto"/>
          <w:lang w:val="el-GR"/>
        </w:rPr>
      </w:pPr>
      <w:r w:rsidRPr="00CC1034">
        <w:rPr>
          <w:color w:val="auto"/>
          <w:lang w:val="el-GR"/>
        </w:rPr>
        <w:t xml:space="preserve">Β. </w:t>
      </w:r>
      <w:r w:rsidR="009215D2" w:rsidRPr="00CC1034">
        <w:rPr>
          <w:color w:val="auto"/>
          <w:lang w:val="el-GR"/>
        </w:rPr>
        <w:t xml:space="preserve">Στόχοι της ενωσιακής πολιτικής για τις δημόσιες συμβάσεις </w:t>
      </w:r>
    </w:p>
    <w:p w14:paraId="187F7C89" w14:textId="20F8BA8D" w:rsidR="009215D2" w:rsidRPr="00CC1034" w:rsidRDefault="00030676" w:rsidP="00030676">
      <w:pPr>
        <w:pStyle w:val="Heading2"/>
        <w:rPr>
          <w:color w:val="auto"/>
          <w:lang w:val="el-GR"/>
        </w:rPr>
      </w:pPr>
      <w:r w:rsidRPr="00CC1034">
        <w:rPr>
          <w:color w:val="auto"/>
          <w:lang w:val="el-GR"/>
        </w:rPr>
        <w:t xml:space="preserve">Γ. </w:t>
      </w:r>
      <w:r w:rsidR="009215D2" w:rsidRPr="00CC1034">
        <w:rPr>
          <w:color w:val="auto"/>
          <w:lang w:val="el-GR"/>
        </w:rPr>
        <w:t>Ισχύον νομοθετικό πλαίσιο</w:t>
      </w:r>
    </w:p>
    <w:p w14:paraId="58109C82" w14:textId="0E1C59F0" w:rsidR="00030676" w:rsidRPr="00CC1034" w:rsidRDefault="009215D2" w:rsidP="009215D2">
      <w:pPr>
        <w:pStyle w:val="Heading3"/>
        <w:rPr>
          <w:color w:val="auto"/>
          <w:lang w:val="el-GR"/>
        </w:rPr>
      </w:pPr>
      <w:r w:rsidRPr="00CC1034">
        <w:rPr>
          <w:color w:val="auto"/>
          <w:lang w:val="el-GR"/>
        </w:rPr>
        <w:tab/>
        <w:t xml:space="preserve">1. Το ουσιαστικό δίκαιο </w:t>
      </w:r>
    </w:p>
    <w:p w14:paraId="2993AC58" w14:textId="77777777" w:rsidR="003D5B4C" w:rsidRPr="00CC1034" w:rsidRDefault="003D5B4C" w:rsidP="003D5B4C">
      <w:pPr>
        <w:pStyle w:val="Heading4"/>
        <w:rPr>
          <w:color w:val="auto"/>
          <w:lang w:val="el-GR"/>
        </w:rPr>
      </w:pPr>
      <w:r w:rsidRPr="00CC1034">
        <w:rPr>
          <w:color w:val="auto"/>
          <w:lang w:val="el-GR"/>
        </w:rPr>
        <w:tab/>
      </w:r>
      <w:r w:rsidRPr="00CC1034">
        <w:rPr>
          <w:color w:val="auto"/>
          <w:lang w:val="el-GR"/>
        </w:rPr>
        <w:tab/>
        <w:t xml:space="preserve">α. Οι γενικοί κανόνες </w:t>
      </w:r>
    </w:p>
    <w:p w14:paraId="416579F6" w14:textId="6C2EE46E" w:rsidR="003D5B4C" w:rsidRPr="00CC1034" w:rsidRDefault="003D5B4C" w:rsidP="00A53476">
      <w:pPr>
        <w:pStyle w:val="Heading5"/>
        <w:ind w:left="708" w:firstLine="708"/>
        <w:rPr>
          <w:color w:val="auto"/>
          <w:lang w:val="el-GR"/>
        </w:rPr>
      </w:pPr>
      <w:r w:rsidRPr="00CC1034">
        <w:rPr>
          <w:color w:val="auto"/>
          <w:lang w:val="en-GB"/>
        </w:rPr>
        <w:t>i</w:t>
      </w:r>
      <w:r w:rsidRPr="00CC1034">
        <w:rPr>
          <w:color w:val="auto"/>
          <w:lang w:val="el-GR"/>
        </w:rPr>
        <w:t xml:space="preserve">. </w:t>
      </w:r>
      <w:r w:rsidR="00A53476" w:rsidRPr="00CC1034">
        <w:rPr>
          <w:color w:val="auto"/>
          <w:lang w:val="el-GR"/>
        </w:rPr>
        <w:t>Η Ο</w:t>
      </w:r>
      <w:r w:rsidR="0026611A">
        <w:rPr>
          <w:color w:val="auto"/>
          <w:lang w:val="el-GR"/>
        </w:rPr>
        <w:t>δηγία 20</w:t>
      </w:r>
      <w:r w:rsidR="0026611A" w:rsidRPr="0026611A">
        <w:rPr>
          <w:color w:val="auto"/>
          <w:lang w:val="el-GR"/>
        </w:rPr>
        <w:t>1</w:t>
      </w:r>
      <w:r w:rsidRPr="00CC1034">
        <w:rPr>
          <w:color w:val="auto"/>
          <w:lang w:val="el-GR"/>
        </w:rPr>
        <w:t>4/24</w:t>
      </w:r>
      <w:r w:rsidR="00760274" w:rsidRPr="00CC1034">
        <w:rPr>
          <w:color w:val="auto"/>
          <w:lang w:val="el-GR"/>
        </w:rPr>
        <w:t xml:space="preserve"> για τις δημόσιες συμβάσεις αγαθών, υπηρεσιών</w:t>
      </w:r>
      <w:r w:rsidR="00A53476" w:rsidRPr="00CC1034">
        <w:rPr>
          <w:color w:val="auto"/>
          <w:lang w:val="el-GR"/>
        </w:rPr>
        <w:t>,</w:t>
      </w:r>
      <w:r w:rsidR="00760274" w:rsidRPr="00CC1034">
        <w:rPr>
          <w:color w:val="auto"/>
          <w:lang w:val="el-GR"/>
        </w:rPr>
        <w:t xml:space="preserve"> έργων</w:t>
      </w:r>
    </w:p>
    <w:p w14:paraId="55866406" w14:textId="3E1D4DA4" w:rsidR="003D5B4C" w:rsidRPr="00CC1034" w:rsidRDefault="003D5B4C" w:rsidP="003D5B4C">
      <w:pPr>
        <w:pStyle w:val="Heading5"/>
        <w:rPr>
          <w:color w:val="auto"/>
          <w:lang w:val="el-GR"/>
        </w:rPr>
      </w:pPr>
      <w:r w:rsidRPr="00CC1034">
        <w:rPr>
          <w:color w:val="auto"/>
          <w:lang w:val="el-GR"/>
        </w:rPr>
        <w:tab/>
      </w:r>
      <w:r w:rsidRPr="00CC1034">
        <w:rPr>
          <w:color w:val="auto"/>
          <w:lang w:val="el-GR"/>
        </w:rPr>
        <w:tab/>
      </w:r>
      <w:r w:rsidRPr="00CC1034">
        <w:rPr>
          <w:color w:val="auto"/>
          <w:lang w:val="en-GB"/>
        </w:rPr>
        <w:t>ii</w:t>
      </w:r>
      <w:r w:rsidRPr="00CC1034">
        <w:rPr>
          <w:color w:val="auto"/>
          <w:lang w:val="el-GR"/>
        </w:rPr>
        <w:t xml:space="preserve">. </w:t>
      </w:r>
      <w:r w:rsidRPr="00CC1034">
        <w:rPr>
          <w:color w:val="auto"/>
          <w:lang w:val="en-GB"/>
        </w:rPr>
        <w:t>H</w:t>
      </w:r>
      <w:r w:rsidRPr="00CC1034">
        <w:rPr>
          <w:color w:val="auto"/>
          <w:lang w:val="el-GR"/>
        </w:rPr>
        <w:t xml:space="preserve"> </w:t>
      </w:r>
      <w:r w:rsidR="00A53476" w:rsidRPr="00CC1034">
        <w:rPr>
          <w:color w:val="auto"/>
          <w:lang w:val="el-GR"/>
        </w:rPr>
        <w:t>Ο</w:t>
      </w:r>
      <w:r w:rsidR="0026611A">
        <w:rPr>
          <w:color w:val="auto"/>
          <w:lang w:val="el-GR"/>
        </w:rPr>
        <w:t>δηγία 20</w:t>
      </w:r>
      <w:r w:rsidR="0026611A" w:rsidRPr="0026611A">
        <w:rPr>
          <w:color w:val="auto"/>
          <w:lang w:val="el-GR"/>
        </w:rPr>
        <w:t>1</w:t>
      </w:r>
      <w:r w:rsidRPr="00CC1034">
        <w:rPr>
          <w:color w:val="auto"/>
          <w:lang w:val="el-GR"/>
        </w:rPr>
        <w:t>4/23 για τις συμβάσεις παραχώρησης</w:t>
      </w:r>
    </w:p>
    <w:p w14:paraId="1870A21E" w14:textId="252D3730" w:rsidR="00D269A4" w:rsidRPr="00CC1034" w:rsidRDefault="00D269A4" w:rsidP="00D269A4">
      <w:pPr>
        <w:pStyle w:val="Heading5"/>
        <w:rPr>
          <w:color w:val="auto"/>
          <w:lang w:val="el-GR"/>
        </w:rPr>
      </w:pPr>
      <w:r w:rsidRPr="00CC1034">
        <w:rPr>
          <w:color w:val="auto"/>
          <w:lang w:val="el-GR"/>
        </w:rPr>
        <w:tab/>
      </w:r>
      <w:r w:rsidRPr="00CC1034">
        <w:rPr>
          <w:color w:val="auto"/>
          <w:lang w:val="el-GR"/>
        </w:rPr>
        <w:tab/>
      </w:r>
      <w:r w:rsidRPr="00CC1034">
        <w:rPr>
          <w:color w:val="auto"/>
          <w:lang w:val="fr-BE"/>
        </w:rPr>
        <w:t>iii</w:t>
      </w:r>
      <w:r w:rsidRPr="00CC1034">
        <w:rPr>
          <w:color w:val="auto"/>
          <w:lang w:val="el-GR"/>
        </w:rPr>
        <w:t xml:space="preserve">. </w:t>
      </w:r>
      <w:r w:rsidRPr="00CC1034">
        <w:rPr>
          <w:color w:val="auto"/>
          <w:lang w:val="fr-BE"/>
        </w:rPr>
        <w:t>H</w:t>
      </w:r>
      <w:r w:rsidRPr="00CC1034">
        <w:rPr>
          <w:color w:val="auto"/>
          <w:lang w:val="el-GR"/>
        </w:rPr>
        <w:t xml:space="preserve"> </w:t>
      </w:r>
      <w:r w:rsidR="00A53476" w:rsidRPr="00CC1034">
        <w:rPr>
          <w:color w:val="auto"/>
          <w:lang w:val="el-GR"/>
        </w:rPr>
        <w:t>Ο</w:t>
      </w:r>
      <w:r w:rsidRPr="00CC1034">
        <w:rPr>
          <w:color w:val="auto"/>
          <w:lang w:val="el-GR"/>
        </w:rPr>
        <w:t xml:space="preserve">δηγία 2014/55 για την έκδοση ηλεκτρονικών τιμολογίων </w:t>
      </w:r>
    </w:p>
    <w:p w14:paraId="0404433D" w14:textId="1ED5D1C5" w:rsidR="003D5B4C" w:rsidRPr="00CC1034" w:rsidRDefault="003D5B4C" w:rsidP="003D5B4C">
      <w:pPr>
        <w:pStyle w:val="Heading4"/>
        <w:rPr>
          <w:color w:val="auto"/>
          <w:lang w:val="el-GR"/>
        </w:rPr>
      </w:pPr>
      <w:r w:rsidRPr="00CC1034">
        <w:rPr>
          <w:color w:val="auto"/>
          <w:lang w:val="el-GR"/>
        </w:rPr>
        <w:tab/>
      </w:r>
      <w:r w:rsidRPr="00CC1034">
        <w:rPr>
          <w:color w:val="auto"/>
          <w:lang w:val="el-GR"/>
        </w:rPr>
        <w:tab/>
        <w:t>β. Οι τομεακοί κανόνες</w:t>
      </w:r>
    </w:p>
    <w:p w14:paraId="793FBCCC" w14:textId="7B86EB66" w:rsidR="00DB6FA9" w:rsidRPr="00CC1034" w:rsidRDefault="00DB6FA9" w:rsidP="00DB6FA9">
      <w:pPr>
        <w:pStyle w:val="Heading5"/>
        <w:rPr>
          <w:color w:val="auto"/>
          <w:lang w:val="el-GR"/>
        </w:rPr>
      </w:pPr>
      <w:r w:rsidRPr="00CC1034">
        <w:rPr>
          <w:color w:val="auto"/>
          <w:lang w:val="el-GR"/>
        </w:rPr>
        <w:tab/>
      </w:r>
      <w:r w:rsidRPr="00CC1034">
        <w:rPr>
          <w:color w:val="auto"/>
          <w:lang w:val="el-GR"/>
        </w:rPr>
        <w:tab/>
      </w:r>
      <w:r w:rsidRPr="00CC1034">
        <w:rPr>
          <w:color w:val="auto"/>
          <w:lang w:val="en-GB"/>
        </w:rPr>
        <w:t>i</w:t>
      </w:r>
      <w:r w:rsidRPr="00CC1034">
        <w:rPr>
          <w:color w:val="auto"/>
          <w:lang w:val="el-GR"/>
        </w:rPr>
        <w:t xml:space="preserve">. </w:t>
      </w:r>
      <w:r w:rsidRPr="00CC1034">
        <w:rPr>
          <w:color w:val="auto"/>
          <w:lang w:val="en-GB"/>
        </w:rPr>
        <w:t>H</w:t>
      </w:r>
      <w:r w:rsidRPr="00CC1034">
        <w:rPr>
          <w:color w:val="auto"/>
          <w:lang w:val="el-GR"/>
        </w:rPr>
        <w:t xml:space="preserve"> </w:t>
      </w:r>
      <w:r w:rsidR="00A53476" w:rsidRPr="00CC1034">
        <w:rPr>
          <w:color w:val="auto"/>
          <w:lang w:val="el-GR"/>
        </w:rPr>
        <w:t>Ο</w:t>
      </w:r>
      <w:r w:rsidR="0026611A">
        <w:rPr>
          <w:color w:val="auto"/>
          <w:lang w:val="el-GR"/>
        </w:rPr>
        <w:t>δηγία 20</w:t>
      </w:r>
      <w:r w:rsidR="0026611A" w:rsidRPr="0026611A">
        <w:rPr>
          <w:color w:val="auto"/>
          <w:lang w:val="el-GR"/>
        </w:rPr>
        <w:t>1</w:t>
      </w:r>
      <w:r w:rsidRPr="00CC1034">
        <w:rPr>
          <w:color w:val="auto"/>
          <w:lang w:val="el-GR"/>
        </w:rPr>
        <w:t>4/25 για τις συμβάσεις στους τομείς δημόσιας ωφέλειας</w:t>
      </w:r>
    </w:p>
    <w:p w14:paraId="4C015797" w14:textId="0A8BDB06" w:rsidR="00DB6FA9" w:rsidRPr="00CC1034" w:rsidRDefault="00DB6FA9" w:rsidP="00DB6FA9">
      <w:pPr>
        <w:pStyle w:val="Heading5"/>
        <w:ind w:left="1416"/>
        <w:rPr>
          <w:color w:val="auto"/>
          <w:lang w:val="el-GR"/>
        </w:rPr>
      </w:pPr>
      <w:r w:rsidRPr="00CC1034">
        <w:rPr>
          <w:color w:val="auto"/>
          <w:lang w:val="en-GB"/>
        </w:rPr>
        <w:t>ii</w:t>
      </w:r>
      <w:r w:rsidRPr="00CC1034">
        <w:rPr>
          <w:color w:val="auto"/>
          <w:lang w:val="el-GR"/>
        </w:rPr>
        <w:t>.</w:t>
      </w:r>
      <w:r w:rsidR="00A53476" w:rsidRPr="00CC1034">
        <w:rPr>
          <w:color w:val="auto"/>
          <w:lang w:val="el-GR"/>
        </w:rPr>
        <w:t xml:space="preserve"> Η Ο</w:t>
      </w:r>
      <w:r w:rsidRPr="00CC1034">
        <w:rPr>
          <w:color w:val="auto"/>
          <w:lang w:val="el-GR"/>
        </w:rPr>
        <w:t>δηγία 2009/81 για τις συμβάσεις στους τομείς της άμυνας και της ασφάλειας</w:t>
      </w:r>
      <w:r w:rsidRPr="00CC1034">
        <w:rPr>
          <w:color w:val="auto"/>
          <w:lang w:val="el-GR"/>
        </w:rPr>
        <w:tab/>
      </w:r>
      <w:r w:rsidRPr="00CC1034">
        <w:rPr>
          <w:color w:val="auto"/>
          <w:lang w:val="el-GR"/>
        </w:rPr>
        <w:tab/>
      </w:r>
    </w:p>
    <w:p w14:paraId="01196AC0" w14:textId="21033E0E" w:rsidR="009215D2" w:rsidRPr="00CC1034" w:rsidRDefault="009215D2" w:rsidP="009215D2">
      <w:pPr>
        <w:pStyle w:val="Heading3"/>
        <w:rPr>
          <w:color w:val="auto"/>
          <w:lang w:val="el-GR"/>
        </w:rPr>
      </w:pPr>
      <w:r w:rsidRPr="00CC1034">
        <w:rPr>
          <w:color w:val="auto"/>
          <w:lang w:val="el-GR"/>
        </w:rPr>
        <w:tab/>
        <w:t>2. Η έννομη προστασία</w:t>
      </w:r>
    </w:p>
    <w:p w14:paraId="1050FEE5" w14:textId="391C1D3F" w:rsidR="00030676" w:rsidRPr="00CC1034" w:rsidRDefault="00030676" w:rsidP="00030676">
      <w:pPr>
        <w:pStyle w:val="Heading2"/>
        <w:rPr>
          <w:color w:val="auto"/>
          <w:lang w:val="el-GR"/>
        </w:rPr>
      </w:pPr>
      <w:r w:rsidRPr="00CC1034">
        <w:rPr>
          <w:color w:val="auto"/>
          <w:lang w:val="el-GR"/>
        </w:rPr>
        <w:t>Δ.</w:t>
      </w:r>
      <w:r w:rsidR="003D5B4C" w:rsidRPr="00CC1034">
        <w:rPr>
          <w:color w:val="auto"/>
          <w:lang w:val="el-GR"/>
        </w:rPr>
        <w:t xml:space="preserve"> Η διεθνής διάσταση</w:t>
      </w:r>
    </w:p>
    <w:p w14:paraId="346D3124" w14:textId="37D3E166" w:rsidR="00D269A4" w:rsidRPr="00CC1034" w:rsidRDefault="00D269A4" w:rsidP="00D269A4">
      <w:pPr>
        <w:pStyle w:val="Heading3"/>
        <w:rPr>
          <w:color w:val="auto"/>
          <w:lang w:val="el-GR"/>
        </w:rPr>
      </w:pPr>
      <w:r w:rsidRPr="00CC1034">
        <w:rPr>
          <w:color w:val="auto"/>
          <w:lang w:val="el-GR"/>
        </w:rPr>
        <w:tab/>
        <w:t>1. Η συμφωνία για τις δημόσιες συμβάσεις στο πλαίσιο του ΠΟΕ</w:t>
      </w:r>
    </w:p>
    <w:p w14:paraId="00F92F8E" w14:textId="79D2DF45" w:rsidR="00D269A4" w:rsidRPr="00CC1034" w:rsidRDefault="00D269A4" w:rsidP="00D269A4">
      <w:pPr>
        <w:pStyle w:val="Heading3"/>
        <w:ind w:left="708"/>
        <w:rPr>
          <w:color w:val="auto"/>
          <w:lang w:val="el-GR"/>
        </w:rPr>
      </w:pPr>
      <w:r w:rsidRPr="00CC1034">
        <w:rPr>
          <w:color w:val="auto"/>
          <w:lang w:val="el-GR"/>
        </w:rPr>
        <w:t xml:space="preserve">2. Η πρόταση της Επιτροπής για την πρόσβαση προϊόντων και υπηρεσιών τρίτων </w:t>
      </w:r>
      <w:r w:rsidR="002656D3" w:rsidRPr="00CC1034">
        <w:rPr>
          <w:color w:val="auto"/>
          <w:lang w:val="el-GR"/>
        </w:rPr>
        <w:t>χ</w:t>
      </w:r>
      <w:r w:rsidRPr="00CC1034">
        <w:rPr>
          <w:color w:val="auto"/>
          <w:lang w:val="el-GR"/>
        </w:rPr>
        <w:t>ωρών στην εσωτερική αγορά</w:t>
      </w:r>
    </w:p>
    <w:p w14:paraId="567AC6F1" w14:textId="77777777" w:rsidR="00D269A4" w:rsidRPr="00CC1034" w:rsidRDefault="00D269A4" w:rsidP="00D269A4">
      <w:pPr>
        <w:pStyle w:val="Heading3"/>
        <w:rPr>
          <w:color w:val="auto"/>
          <w:lang w:val="el-GR"/>
        </w:rPr>
      </w:pPr>
    </w:p>
    <w:p w14:paraId="51954783" w14:textId="77777777" w:rsidR="004177D1" w:rsidRDefault="004177D1" w:rsidP="002F233B">
      <w:pPr>
        <w:pStyle w:val="Heading1"/>
        <w:jc w:val="center"/>
        <w:rPr>
          <w:color w:val="1F497D" w:themeColor="text2"/>
          <w:lang w:val="el-GR"/>
        </w:rPr>
      </w:pPr>
    </w:p>
    <w:p w14:paraId="66E54E12" w14:textId="77777777" w:rsidR="004177D1" w:rsidRDefault="004177D1" w:rsidP="002F233B">
      <w:pPr>
        <w:pStyle w:val="Heading1"/>
        <w:jc w:val="center"/>
        <w:rPr>
          <w:color w:val="1F497D" w:themeColor="text2"/>
          <w:lang w:val="el-GR"/>
        </w:rPr>
      </w:pPr>
    </w:p>
    <w:p w14:paraId="05F0EE72" w14:textId="77777777" w:rsidR="004177D1" w:rsidRDefault="004177D1" w:rsidP="002F233B">
      <w:pPr>
        <w:pStyle w:val="Heading1"/>
        <w:jc w:val="center"/>
        <w:rPr>
          <w:color w:val="1F497D" w:themeColor="text2"/>
          <w:lang w:val="el-GR"/>
        </w:rPr>
      </w:pPr>
    </w:p>
    <w:p w14:paraId="06F84018" w14:textId="77777777" w:rsidR="004177D1" w:rsidRDefault="004177D1" w:rsidP="002F233B">
      <w:pPr>
        <w:pStyle w:val="Heading1"/>
        <w:jc w:val="center"/>
        <w:rPr>
          <w:color w:val="1F497D" w:themeColor="text2"/>
          <w:lang w:val="el-GR"/>
        </w:rPr>
      </w:pPr>
    </w:p>
    <w:p w14:paraId="7CBF806D" w14:textId="77777777" w:rsidR="004177D1" w:rsidRDefault="004177D1" w:rsidP="002F233B">
      <w:pPr>
        <w:pStyle w:val="Heading1"/>
        <w:jc w:val="center"/>
        <w:rPr>
          <w:color w:val="1F497D" w:themeColor="text2"/>
          <w:lang w:val="el-GR"/>
        </w:rPr>
      </w:pPr>
    </w:p>
    <w:p w14:paraId="5B7551D1" w14:textId="4F302ECB" w:rsidR="00F06E20" w:rsidRPr="00B540EF" w:rsidRDefault="00BD5C9E" w:rsidP="002F233B">
      <w:pPr>
        <w:pStyle w:val="Heading1"/>
        <w:jc w:val="center"/>
        <w:rPr>
          <w:color w:val="1F497D" w:themeColor="text2"/>
          <w:lang w:val="el-GR"/>
        </w:rPr>
      </w:pPr>
      <w:r w:rsidRPr="00B540EF">
        <w:rPr>
          <w:color w:val="1F497D" w:themeColor="text2"/>
          <w:lang w:val="en-GB"/>
        </w:rPr>
        <w:t>V</w:t>
      </w:r>
      <w:r w:rsidRPr="00B540EF">
        <w:rPr>
          <w:color w:val="1F497D" w:themeColor="text2"/>
          <w:lang w:val="el-GR"/>
        </w:rPr>
        <w:t xml:space="preserve">. </w:t>
      </w:r>
      <w:r w:rsidR="00F06E20" w:rsidRPr="00B540EF">
        <w:rPr>
          <w:color w:val="1F497D" w:themeColor="text2"/>
          <w:lang w:val="el-GR"/>
        </w:rPr>
        <w:t>Ε</w:t>
      </w:r>
      <w:r w:rsidR="002F233B" w:rsidRPr="00B540EF">
        <w:rPr>
          <w:color w:val="1F497D" w:themeColor="text2"/>
          <w:lang w:val="el-GR"/>
        </w:rPr>
        <w:t>νωσιακό</w:t>
      </w:r>
      <w:r w:rsidR="00F06E20" w:rsidRPr="00B540EF">
        <w:rPr>
          <w:color w:val="1F497D" w:themeColor="text2"/>
          <w:lang w:val="el-GR"/>
        </w:rPr>
        <w:t xml:space="preserve"> </w:t>
      </w:r>
      <w:r w:rsidR="00D53E9D" w:rsidRPr="00B540EF">
        <w:rPr>
          <w:color w:val="1F497D" w:themeColor="text2"/>
          <w:lang w:val="el-GR"/>
        </w:rPr>
        <w:t xml:space="preserve">κανονιστικό </w:t>
      </w:r>
      <w:r w:rsidR="00F06E20" w:rsidRPr="00B540EF">
        <w:rPr>
          <w:color w:val="1F497D" w:themeColor="text2"/>
          <w:lang w:val="el-GR"/>
        </w:rPr>
        <w:t>πλαίσιο προστασίας</w:t>
      </w:r>
      <w:r w:rsidR="00F23C7C" w:rsidRPr="00B540EF">
        <w:rPr>
          <w:color w:val="1F497D" w:themeColor="text2"/>
          <w:lang w:val="el-GR"/>
        </w:rPr>
        <w:t xml:space="preserve"> και ανάπτυξης</w:t>
      </w:r>
      <w:r w:rsidR="00F06E20" w:rsidRPr="00B540EF">
        <w:rPr>
          <w:color w:val="1F497D" w:themeColor="text2"/>
          <w:lang w:val="el-GR"/>
        </w:rPr>
        <w:t xml:space="preserve"> του ανταγωνισμού</w:t>
      </w:r>
    </w:p>
    <w:p w14:paraId="3ED09B63" w14:textId="4D39AA0F" w:rsidR="00F23C7C" w:rsidRPr="00CC1034" w:rsidRDefault="00F23C7C" w:rsidP="00F23C7C">
      <w:pPr>
        <w:pStyle w:val="Heading2"/>
        <w:rPr>
          <w:color w:val="auto"/>
          <w:lang w:val="el-GR"/>
        </w:rPr>
      </w:pPr>
      <w:r w:rsidRPr="00CC1034">
        <w:rPr>
          <w:color w:val="auto"/>
          <w:lang w:val="el-GR"/>
        </w:rPr>
        <w:t xml:space="preserve">Α. </w:t>
      </w:r>
      <w:r w:rsidR="00021711" w:rsidRPr="00CC1034">
        <w:rPr>
          <w:color w:val="auto"/>
          <w:lang w:val="el-GR"/>
        </w:rPr>
        <w:t xml:space="preserve">Εισαγωγή - </w:t>
      </w:r>
      <w:r w:rsidRPr="00CC1034">
        <w:rPr>
          <w:color w:val="auto"/>
          <w:lang w:val="el-GR"/>
        </w:rPr>
        <w:t>Η πολιτική ανταγωνισμού</w:t>
      </w:r>
    </w:p>
    <w:p w14:paraId="53E2B7D6" w14:textId="1D9C0038" w:rsidR="00363611" w:rsidRPr="00CC1034" w:rsidRDefault="00363611" w:rsidP="00363611">
      <w:pPr>
        <w:pStyle w:val="Heading3"/>
        <w:ind w:firstLine="708"/>
        <w:rPr>
          <w:color w:val="auto"/>
          <w:lang w:val="el-GR"/>
        </w:rPr>
      </w:pPr>
      <w:r w:rsidRPr="00CC1034">
        <w:rPr>
          <w:color w:val="auto"/>
          <w:lang w:val="el-GR"/>
        </w:rPr>
        <w:t xml:space="preserve">1.  </w:t>
      </w:r>
      <w:r w:rsidR="002B44FB" w:rsidRPr="00CC1034">
        <w:rPr>
          <w:color w:val="auto"/>
          <w:lang w:val="el-GR"/>
        </w:rPr>
        <w:t>Στόχοι της πολιτικής ανταγωνισμού</w:t>
      </w:r>
    </w:p>
    <w:p w14:paraId="3BB370EC" w14:textId="1E44A04C" w:rsidR="00363611" w:rsidRPr="00CC1034" w:rsidRDefault="00363611" w:rsidP="00363611">
      <w:pPr>
        <w:pStyle w:val="Heading4"/>
        <w:rPr>
          <w:color w:val="auto"/>
          <w:lang w:val="el-GR"/>
        </w:rPr>
      </w:pPr>
      <w:r w:rsidRPr="00CC1034">
        <w:rPr>
          <w:color w:val="auto"/>
          <w:lang w:val="el-GR"/>
        </w:rPr>
        <w:tab/>
      </w:r>
      <w:r w:rsidRPr="00CC1034">
        <w:rPr>
          <w:color w:val="auto"/>
          <w:lang w:val="el-GR"/>
        </w:rPr>
        <w:tab/>
        <w:t xml:space="preserve">α. </w:t>
      </w:r>
      <w:r w:rsidR="00DC00A6" w:rsidRPr="00CC1034">
        <w:rPr>
          <w:color w:val="auto"/>
          <w:lang w:val="el-GR"/>
        </w:rPr>
        <w:t>Ο ανταγωνισμός ως οικονομική ελευθερία</w:t>
      </w:r>
    </w:p>
    <w:p w14:paraId="6DFFE1F4" w14:textId="69EC99A3" w:rsidR="00363611" w:rsidRPr="00CC1034" w:rsidRDefault="00363611" w:rsidP="00363611">
      <w:pPr>
        <w:pStyle w:val="Heading4"/>
        <w:ind w:left="1418"/>
        <w:rPr>
          <w:color w:val="auto"/>
          <w:lang w:val="el-GR"/>
        </w:rPr>
      </w:pPr>
      <w:r w:rsidRPr="00CC1034">
        <w:rPr>
          <w:color w:val="auto"/>
          <w:lang w:val="el-GR"/>
        </w:rPr>
        <w:t xml:space="preserve">β. </w:t>
      </w:r>
      <w:r w:rsidR="00DC00A6" w:rsidRPr="00CC1034">
        <w:rPr>
          <w:color w:val="auto"/>
          <w:lang w:val="el-GR"/>
        </w:rPr>
        <w:t>Η επιδίωξη της οικονομική</w:t>
      </w:r>
      <w:r w:rsidR="00CC1034">
        <w:rPr>
          <w:color w:val="auto"/>
          <w:lang w:val="el-GR"/>
        </w:rPr>
        <w:t>ς</w:t>
      </w:r>
      <w:r w:rsidR="00DC00A6" w:rsidRPr="00CC1034">
        <w:rPr>
          <w:color w:val="auto"/>
          <w:lang w:val="el-GR"/>
        </w:rPr>
        <w:t xml:space="preserve"> αποτελεσματικότητας</w:t>
      </w:r>
    </w:p>
    <w:p w14:paraId="0C8C2DC7" w14:textId="696AF5CF" w:rsidR="00363611" w:rsidRPr="00CC1034" w:rsidRDefault="00363611" w:rsidP="00363611">
      <w:pPr>
        <w:pStyle w:val="Heading4"/>
        <w:ind w:left="1418"/>
        <w:rPr>
          <w:color w:val="auto"/>
          <w:lang w:val="el-GR"/>
        </w:rPr>
      </w:pPr>
      <w:r w:rsidRPr="00CC1034">
        <w:rPr>
          <w:color w:val="auto"/>
          <w:lang w:val="el-GR"/>
        </w:rPr>
        <w:t xml:space="preserve">γ. </w:t>
      </w:r>
      <w:r w:rsidR="00DC00A6" w:rsidRPr="00CC1034">
        <w:rPr>
          <w:color w:val="auto"/>
          <w:lang w:val="el-GR"/>
        </w:rPr>
        <w:t>Η ολοκλήρωση της εσωτερικής αγοράς</w:t>
      </w:r>
    </w:p>
    <w:p w14:paraId="78C4E090" w14:textId="17AA6F97" w:rsidR="00363611" w:rsidRPr="00CC1034" w:rsidRDefault="00363611" w:rsidP="00363611">
      <w:pPr>
        <w:pStyle w:val="Heading4"/>
        <w:ind w:left="1418"/>
        <w:rPr>
          <w:color w:val="auto"/>
          <w:lang w:val="el-GR"/>
        </w:rPr>
      </w:pPr>
      <w:r w:rsidRPr="00CC1034">
        <w:rPr>
          <w:color w:val="auto"/>
          <w:lang w:val="el-GR"/>
        </w:rPr>
        <w:t xml:space="preserve">δ. </w:t>
      </w:r>
      <w:r w:rsidR="00DC00A6" w:rsidRPr="00CC1034">
        <w:rPr>
          <w:color w:val="auto"/>
          <w:lang w:val="el-GR"/>
        </w:rPr>
        <w:t>Οι διαφορετικές σχολές και η επίδρασή τους στην πολιτική ανταγωνισμού της Ένωσης</w:t>
      </w:r>
    </w:p>
    <w:p w14:paraId="6573D413" w14:textId="4469B977" w:rsidR="00363611" w:rsidRPr="00CC1034" w:rsidRDefault="00363611" w:rsidP="00363611">
      <w:pPr>
        <w:pStyle w:val="Heading3"/>
        <w:ind w:firstLine="708"/>
        <w:rPr>
          <w:color w:val="auto"/>
          <w:lang w:val="el-GR"/>
        </w:rPr>
      </w:pPr>
      <w:r w:rsidRPr="00CC1034">
        <w:rPr>
          <w:color w:val="auto"/>
          <w:lang w:val="el-GR"/>
        </w:rPr>
        <w:t xml:space="preserve">2. </w:t>
      </w:r>
      <w:r w:rsidR="00021711" w:rsidRPr="00CC1034">
        <w:rPr>
          <w:color w:val="auto"/>
          <w:lang w:val="el-GR"/>
        </w:rPr>
        <w:t>Αντικείμενο προστασίας των ενωσιακών κανόνων περί ανταγωνισμού</w:t>
      </w:r>
    </w:p>
    <w:p w14:paraId="54AB556D" w14:textId="0B9D397F" w:rsidR="00DD2500" w:rsidRPr="00CC1034" w:rsidRDefault="00DD2500" w:rsidP="00DD2500">
      <w:pPr>
        <w:pStyle w:val="Heading4"/>
        <w:ind w:left="708" w:firstLine="708"/>
        <w:rPr>
          <w:color w:val="auto"/>
          <w:lang w:val="el-GR"/>
        </w:rPr>
      </w:pPr>
      <w:r w:rsidRPr="00CC1034">
        <w:rPr>
          <w:color w:val="auto"/>
          <w:lang w:val="el-GR"/>
        </w:rPr>
        <w:t xml:space="preserve">α. </w:t>
      </w:r>
      <w:r w:rsidR="00021711" w:rsidRPr="00CC1034">
        <w:rPr>
          <w:color w:val="auto"/>
          <w:lang w:val="el-GR"/>
        </w:rPr>
        <w:t>Η έννοια του αποτελεσματικού-εφικτού ανταγωνισμού (</w:t>
      </w:r>
      <w:r w:rsidR="00021711" w:rsidRPr="00CC1034">
        <w:rPr>
          <w:color w:val="auto"/>
          <w:lang w:val="fr-BE"/>
        </w:rPr>
        <w:t>workable</w:t>
      </w:r>
      <w:r w:rsidR="00021711" w:rsidRPr="00CC1034">
        <w:rPr>
          <w:color w:val="auto"/>
          <w:lang w:val="el-GR"/>
        </w:rPr>
        <w:t xml:space="preserve"> </w:t>
      </w:r>
      <w:r w:rsidR="00021711" w:rsidRPr="00CC1034">
        <w:rPr>
          <w:color w:val="auto"/>
          <w:lang w:val="fr-BE"/>
        </w:rPr>
        <w:t>competition</w:t>
      </w:r>
      <w:r w:rsidR="00021711" w:rsidRPr="00CC1034">
        <w:rPr>
          <w:color w:val="auto"/>
          <w:lang w:val="el-GR"/>
        </w:rPr>
        <w:t>)</w:t>
      </w:r>
    </w:p>
    <w:p w14:paraId="4BF91455" w14:textId="0DB129CE" w:rsidR="00DD2500" w:rsidRPr="00CC1034" w:rsidRDefault="00DD2500" w:rsidP="00DD2500">
      <w:pPr>
        <w:pStyle w:val="Heading4"/>
        <w:ind w:left="1418"/>
        <w:rPr>
          <w:color w:val="auto"/>
          <w:lang w:val="el-GR"/>
        </w:rPr>
      </w:pPr>
      <w:r w:rsidRPr="00CC1034">
        <w:rPr>
          <w:color w:val="auto"/>
          <w:lang w:val="el-GR"/>
        </w:rPr>
        <w:t xml:space="preserve">β. </w:t>
      </w:r>
      <w:r w:rsidR="002B44FB" w:rsidRPr="00CC1034">
        <w:rPr>
          <w:color w:val="auto"/>
          <w:lang w:val="el-GR"/>
        </w:rPr>
        <w:t>Η επίδραση του μοντέλου του εφικτού ανταγωνισμού στη διαμόρφωση των ενωσιακών κανόνων</w:t>
      </w:r>
    </w:p>
    <w:p w14:paraId="2D8DE3A3" w14:textId="31A5BFE5" w:rsidR="00DD2500" w:rsidRPr="00CC1034" w:rsidRDefault="00DD2500" w:rsidP="00DD2500">
      <w:pPr>
        <w:pStyle w:val="Heading4"/>
        <w:ind w:left="1418"/>
        <w:rPr>
          <w:color w:val="auto"/>
          <w:lang w:val="el-GR"/>
        </w:rPr>
      </w:pPr>
      <w:r w:rsidRPr="00CC1034">
        <w:rPr>
          <w:color w:val="auto"/>
          <w:lang w:val="el-GR"/>
        </w:rPr>
        <w:t xml:space="preserve">γ. </w:t>
      </w:r>
      <w:r w:rsidR="00CC1034">
        <w:rPr>
          <w:color w:val="auto"/>
          <w:lang w:val="el-GR"/>
        </w:rPr>
        <w:t>Η λ</w:t>
      </w:r>
      <w:r w:rsidR="002B44FB" w:rsidRPr="00CC1034">
        <w:rPr>
          <w:color w:val="auto"/>
          <w:lang w:val="el-GR"/>
        </w:rPr>
        <w:t>ειτουργία των ενωσιακών κανόνων περί ανταγωνισμού</w:t>
      </w:r>
    </w:p>
    <w:p w14:paraId="3CE90E9F" w14:textId="0BF57618" w:rsidR="00363611" w:rsidRPr="00CC1034" w:rsidRDefault="00363611" w:rsidP="00CC1034">
      <w:pPr>
        <w:pStyle w:val="Heading4"/>
        <w:spacing w:before="0"/>
        <w:rPr>
          <w:color w:val="auto"/>
          <w:lang w:val="el-GR"/>
        </w:rPr>
      </w:pPr>
    </w:p>
    <w:p w14:paraId="4B417768" w14:textId="231D8C80" w:rsidR="00C30E59" w:rsidRPr="00CC1034" w:rsidRDefault="003A1D63" w:rsidP="00C30E59">
      <w:pPr>
        <w:pStyle w:val="Heading2"/>
        <w:rPr>
          <w:color w:val="auto"/>
          <w:lang w:val="el-GR"/>
        </w:rPr>
      </w:pPr>
      <w:r w:rsidRPr="00CC1034">
        <w:rPr>
          <w:color w:val="auto"/>
          <w:lang w:val="el-GR"/>
        </w:rPr>
        <w:t>Β</w:t>
      </w:r>
      <w:r w:rsidR="00C30E59" w:rsidRPr="00CC1034">
        <w:rPr>
          <w:color w:val="auto"/>
          <w:lang w:val="el-GR"/>
        </w:rPr>
        <w:t>. Ανταγωνισμός μεταξύ επιχειρήσεων</w:t>
      </w:r>
    </w:p>
    <w:p w14:paraId="69EB7D70" w14:textId="3C98902A" w:rsidR="00033A1C" w:rsidRPr="00CC1034" w:rsidRDefault="003A1D63" w:rsidP="003A1D63">
      <w:pPr>
        <w:pStyle w:val="Heading3"/>
        <w:ind w:firstLine="708"/>
        <w:rPr>
          <w:color w:val="auto"/>
          <w:lang w:val="el-GR"/>
        </w:rPr>
      </w:pPr>
      <w:r w:rsidRPr="00CC1034">
        <w:rPr>
          <w:color w:val="auto"/>
          <w:lang w:val="el-GR"/>
        </w:rPr>
        <w:t>1.</w:t>
      </w:r>
      <w:r w:rsidR="00033A1C" w:rsidRPr="00CC1034">
        <w:rPr>
          <w:color w:val="auto"/>
          <w:lang w:val="el-GR"/>
        </w:rPr>
        <w:t xml:space="preserve"> </w:t>
      </w:r>
      <w:r w:rsidRPr="00CC1034">
        <w:rPr>
          <w:color w:val="auto"/>
          <w:lang w:val="el-GR"/>
        </w:rPr>
        <w:t xml:space="preserve"> </w:t>
      </w:r>
      <w:r w:rsidR="00033A1C" w:rsidRPr="00CC1034">
        <w:rPr>
          <w:color w:val="auto"/>
          <w:lang w:val="el-GR"/>
        </w:rPr>
        <w:t>Προϋποθέσεις εφαρμογής ενωσιακού δικαίου ανταγωνισμού</w:t>
      </w:r>
    </w:p>
    <w:p w14:paraId="43DF6DD4" w14:textId="6B7C4293" w:rsidR="00033A1C" w:rsidRPr="00CC1034" w:rsidRDefault="00033A1C" w:rsidP="00033A1C">
      <w:pPr>
        <w:pStyle w:val="Heading4"/>
        <w:rPr>
          <w:color w:val="auto"/>
          <w:lang w:val="el-GR"/>
        </w:rPr>
      </w:pPr>
      <w:r w:rsidRPr="00CC1034">
        <w:rPr>
          <w:color w:val="auto"/>
          <w:lang w:val="el-GR"/>
        </w:rPr>
        <w:tab/>
      </w:r>
      <w:r w:rsidRPr="00CC1034">
        <w:rPr>
          <w:color w:val="auto"/>
          <w:lang w:val="el-GR"/>
        </w:rPr>
        <w:tab/>
        <w:t xml:space="preserve">α. </w:t>
      </w:r>
      <w:r w:rsidR="002F233B" w:rsidRPr="00CC1034">
        <w:rPr>
          <w:color w:val="auto"/>
          <w:lang w:val="el-GR"/>
        </w:rPr>
        <w:t xml:space="preserve">Πεδίο εφαρμογής </w:t>
      </w:r>
      <w:r w:rsidR="002F233B" w:rsidRPr="00CC1034">
        <w:rPr>
          <w:color w:val="auto"/>
          <w:lang w:val="fr-BE"/>
        </w:rPr>
        <w:t>ratione</w:t>
      </w:r>
      <w:r w:rsidR="002F233B" w:rsidRPr="00CC1034">
        <w:rPr>
          <w:color w:val="auto"/>
          <w:lang w:val="el-GR"/>
        </w:rPr>
        <w:t xml:space="preserve"> </w:t>
      </w:r>
      <w:r w:rsidR="002F233B" w:rsidRPr="00CC1034">
        <w:rPr>
          <w:color w:val="auto"/>
          <w:lang w:val="fr-BE"/>
        </w:rPr>
        <w:t>personae</w:t>
      </w:r>
      <w:r w:rsidR="002F233B" w:rsidRPr="00CC1034">
        <w:rPr>
          <w:color w:val="auto"/>
          <w:lang w:val="el-GR"/>
        </w:rPr>
        <w:t xml:space="preserve"> - </w:t>
      </w:r>
      <w:r w:rsidRPr="00CC1034">
        <w:rPr>
          <w:color w:val="auto"/>
          <w:lang w:val="el-GR"/>
        </w:rPr>
        <w:t>Η έννοια της επιχείρησης</w:t>
      </w:r>
    </w:p>
    <w:p w14:paraId="5898300B" w14:textId="1F27B15A" w:rsidR="00033A1C" w:rsidRPr="00CC1034" w:rsidRDefault="00033A1C" w:rsidP="00033A1C">
      <w:pPr>
        <w:pStyle w:val="Heading4"/>
        <w:ind w:left="1418"/>
        <w:rPr>
          <w:color w:val="auto"/>
          <w:lang w:val="el-GR"/>
        </w:rPr>
      </w:pPr>
      <w:r w:rsidRPr="00CC1034">
        <w:rPr>
          <w:color w:val="auto"/>
          <w:lang w:val="el-GR"/>
        </w:rPr>
        <w:t xml:space="preserve">β. </w:t>
      </w:r>
      <w:r w:rsidR="002F233B" w:rsidRPr="00CC1034">
        <w:rPr>
          <w:color w:val="auto"/>
          <w:lang w:val="el-GR"/>
        </w:rPr>
        <w:t xml:space="preserve">Πεδίο εφαρμογής </w:t>
      </w:r>
      <w:r w:rsidR="0078269B" w:rsidRPr="00CC1034">
        <w:rPr>
          <w:color w:val="auto"/>
          <w:lang w:val="en-GB"/>
        </w:rPr>
        <w:t>ratione</w:t>
      </w:r>
      <w:r w:rsidR="0078269B" w:rsidRPr="00CC1034">
        <w:rPr>
          <w:color w:val="auto"/>
          <w:lang w:val="el-GR"/>
        </w:rPr>
        <w:t xml:space="preserve"> </w:t>
      </w:r>
      <w:r w:rsidR="0078269B" w:rsidRPr="00CC1034">
        <w:rPr>
          <w:color w:val="auto"/>
          <w:lang w:val="en-GB"/>
        </w:rPr>
        <w:t>loci</w:t>
      </w:r>
      <w:r w:rsidR="0078269B" w:rsidRPr="00CC1034">
        <w:rPr>
          <w:color w:val="auto"/>
          <w:lang w:val="el-GR"/>
        </w:rPr>
        <w:t xml:space="preserve"> - </w:t>
      </w:r>
      <w:r w:rsidR="002F233B" w:rsidRPr="00CC1034">
        <w:rPr>
          <w:color w:val="auto"/>
          <w:lang w:val="el-GR"/>
        </w:rPr>
        <w:t>Τα αντι</w:t>
      </w:r>
      <w:r w:rsidR="00E50E90" w:rsidRPr="00CC1034">
        <w:rPr>
          <w:color w:val="auto"/>
          <w:lang w:val="el-GR"/>
        </w:rPr>
        <w:t>-</w:t>
      </w:r>
      <w:r w:rsidR="002F233B" w:rsidRPr="00CC1034">
        <w:rPr>
          <w:color w:val="auto"/>
          <w:lang w:val="el-GR"/>
        </w:rPr>
        <w:t xml:space="preserve">ανταγωνιστικά αποτελέσματα </w:t>
      </w:r>
    </w:p>
    <w:p w14:paraId="464A9393" w14:textId="73DE737A" w:rsidR="00033A1C" w:rsidRPr="00CC1034" w:rsidRDefault="00033A1C" w:rsidP="00033A1C">
      <w:pPr>
        <w:pStyle w:val="Heading4"/>
        <w:ind w:left="1418"/>
        <w:rPr>
          <w:color w:val="auto"/>
          <w:lang w:val="el-GR"/>
        </w:rPr>
      </w:pPr>
      <w:r w:rsidRPr="00CC1034">
        <w:rPr>
          <w:color w:val="auto"/>
          <w:lang w:val="el-GR"/>
        </w:rPr>
        <w:t xml:space="preserve">γ. </w:t>
      </w:r>
      <w:r w:rsidR="00B14FD5" w:rsidRPr="00CC1034">
        <w:rPr>
          <w:color w:val="auto"/>
          <w:lang w:val="el-GR"/>
        </w:rPr>
        <w:t>Η</w:t>
      </w:r>
      <w:r w:rsidR="002F233B" w:rsidRPr="00CC1034">
        <w:rPr>
          <w:color w:val="auto"/>
          <w:lang w:val="el-GR"/>
        </w:rPr>
        <w:t xml:space="preserve"> ορι</w:t>
      </w:r>
      <w:r w:rsidR="00B14FD5" w:rsidRPr="00CC1034">
        <w:rPr>
          <w:color w:val="auto"/>
          <w:lang w:val="el-GR"/>
        </w:rPr>
        <w:t>οθέτηση</w:t>
      </w:r>
      <w:r w:rsidR="002F233B" w:rsidRPr="00CC1034">
        <w:rPr>
          <w:color w:val="auto"/>
          <w:lang w:val="el-GR"/>
        </w:rPr>
        <w:t xml:space="preserve"> των σχετικών αγορών </w:t>
      </w:r>
    </w:p>
    <w:p w14:paraId="346666C7" w14:textId="327C9DA7" w:rsidR="00033A1C" w:rsidRPr="00CC1034" w:rsidRDefault="00033A1C" w:rsidP="00033A1C">
      <w:pPr>
        <w:pStyle w:val="Heading4"/>
        <w:ind w:left="1418"/>
        <w:rPr>
          <w:color w:val="auto"/>
          <w:lang w:val="el-GR"/>
        </w:rPr>
      </w:pPr>
      <w:r w:rsidRPr="00CC1034">
        <w:rPr>
          <w:color w:val="auto"/>
          <w:lang w:val="el-GR"/>
        </w:rPr>
        <w:t>δ. Ο περιορισμός του ενδοενωσιακού εμπορίου</w:t>
      </w:r>
    </w:p>
    <w:p w14:paraId="176298F9" w14:textId="77777777" w:rsidR="002656D3" w:rsidRPr="00CC1034" w:rsidRDefault="002656D3" w:rsidP="00CC1034">
      <w:pPr>
        <w:pStyle w:val="Heading3"/>
        <w:spacing w:before="0"/>
        <w:ind w:firstLine="709"/>
        <w:rPr>
          <w:color w:val="auto"/>
          <w:lang w:val="el-GR"/>
        </w:rPr>
      </w:pPr>
    </w:p>
    <w:p w14:paraId="4ECAFCE1" w14:textId="271B7DCE" w:rsidR="003A1D63" w:rsidRPr="00CC1034" w:rsidRDefault="00033A1C" w:rsidP="003A1D63">
      <w:pPr>
        <w:pStyle w:val="Heading3"/>
        <w:ind w:firstLine="708"/>
        <w:rPr>
          <w:color w:val="auto"/>
          <w:lang w:val="el-GR"/>
        </w:rPr>
      </w:pPr>
      <w:r w:rsidRPr="00CC1034">
        <w:rPr>
          <w:color w:val="auto"/>
          <w:lang w:val="el-GR"/>
        </w:rPr>
        <w:t xml:space="preserve">2. </w:t>
      </w:r>
      <w:r w:rsidR="003A1D63" w:rsidRPr="00CC1034">
        <w:rPr>
          <w:color w:val="auto"/>
          <w:lang w:val="el-GR"/>
        </w:rPr>
        <w:t>Αντιανταγωνιστικές πρακτικές (101, 102 ΣΛΕΕ)</w:t>
      </w:r>
    </w:p>
    <w:p w14:paraId="71B8CC95" w14:textId="6BB2AF17" w:rsidR="00033A1C" w:rsidRPr="00CC1034" w:rsidRDefault="005E6C8F" w:rsidP="00033A1C">
      <w:pPr>
        <w:pStyle w:val="Heading4"/>
        <w:ind w:left="1418"/>
        <w:rPr>
          <w:color w:val="auto"/>
          <w:lang w:val="el-GR"/>
        </w:rPr>
      </w:pPr>
      <w:r w:rsidRPr="00CC1034">
        <w:rPr>
          <w:color w:val="auto"/>
          <w:lang w:val="el-GR"/>
        </w:rPr>
        <w:t xml:space="preserve">α. Η απαγόρευση των αντιανταγωνιστικών </w:t>
      </w:r>
      <w:r w:rsidR="00033A1C" w:rsidRPr="00CC1034">
        <w:rPr>
          <w:color w:val="auto"/>
          <w:lang w:val="el-GR"/>
        </w:rPr>
        <w:t>συμπράξε</w:t>
      </w:r>
      <w:r w:rsidRPr="00CC1034">
        <w:rPr>
          <w:color w:val="auto"/>
          <w:lang w:val="el-GR"/>
        </w:rPr>
        <w:t>ων</w:t>
      </w:r>
    </w:p>
    <w:p w14:paraId="2076FB76" w14:textId="2D57932A" w:rsidR="000C4D54" w:rsidRPr="00CC1034" w:rsidRDefault="000C4D54" w:rsidP="000C4D54">
      <w:pPr>
        <w:pStyle w:val="Heading5"/>
        <w:ind w:left="1418"/>
        <w:rPr>
          <w:color w:val="auto"/>
          <w:lang w:val="el-GR"/>
        </w:rPr>
      </w:pPr>
      <w:r w:rsidRPr="00CC1034">
        <w:rPr>
          <w:color w:val="auto"/>
          <w:lang w:val="en-GB"/>
        </w:rPr>
        <w:t>i</w:t>
      </w:r>
      <w:r w:rsidRPr="00CC1034">
        <w:rPr>
          <w:color w:val="auto"/>
          <w:lang w:val="el-GR"/>
        </w:rPr>
        <w:t xml:space="preserve">. </w:t>
      </w:r>
      <w:r w:rsidR="00953BC9" w:rsidRPr="00CC1034">
        <w:rPr>
          <w:color w:val="auto"/>
          <w:lang w:val="el-GR"/>
        </w:rPr>
        <w:t>Έννοια και μορφές συμπράξεων</w:t>
      </w:r>
    </w:p>
    <w:p w14:paraId="398B5928" w14:textId="319F7B48" w:rsidR="00953BC9" w:rsidRPr="00CC1034" w:rsidRDefault="00953BC9" w:rsidP="00953BC9">
      <w:pPr>
        <w:pStyle w:val="Heading6"/>
        <w:ind w:left="2124"/>
        <w:rPr>
          <w:color w:val="auto"/>
          <w:lang w:val="el-GR"/>
        </w:rPr>
      </w:pPr>
      <w:r w:rsidRPr="00CC1034">
        <w:rPr>
          <w:color w:val="auto"/>
          <w:lang w:val="el-GR"/>
        </w:rPr>
        <w:t>1) Συμφωνίες επιχειρήσεων</w:t>
      </w:r>
    </w:p>
    <w:p w14:paraId="26A5967F" w14:textId="0C7F8F3D" w:rsidR="00953BC9" w:rsidRPr="00CC1034" w:rsidRDefault="00953BC9" w:rsidP="00953BC9">
      <w:pPr>
        <w:pStyle w:val="Heading6"/>
        <w:rPr>
          <w:color w:val="auto"/>
          <w:lang w:val="el-GR"/>
        </w:rPr>
      </w:pPr>
      <w:r w:rsidRPr="00CC1034">
        <w:rPr>
          <w:color w:val="auto"/>
          <w:lang w:val="el-GR"/>
        </w:rPr>
        <w:tab/>
      </w:r>
      <w:r w:rsidRPr="00CC1034">
        <w:rPr>
          <w:color w:val="auto"/>
          <w:lang w:val="el-GR"/>
        </w:rPr>
        <w:tab/>
      </w:r>
      <w:r w:rsidRPr="00CC1034">
        <w:rPr>
          <w:color w:val="auto"/>
          <w:lang w:val="el-GR"/>
        </w:rPr>
        <w:tab/>
        <w:t>2) Αποφάσεις ενώσεων επιχειρήσεων</w:t>
      </w:r>
    </w:p>
    <w:p w14:paraId="71CE2573" w14:textId="34DC6540" w:rsidR="00953BC9" w:rsidRPr="00CC1034" w:rsidRDefault="00953BC9" w:rsidP="00953BC9">
      <w:pPr>
        <w:pStyle w:val="Heading7"/>
        <w:rPr>
          <w:color w:val="auto"/>
          <w:lang w:val="el-GR"/>
        </w:rPr>
      </w:pPr>
      <w:r w:rsidRPr="00CC1034">
        <w:rPr>
          <w:color w:val="auto"/>
          <w:lang w:val="el-GR"/>
        </w:rPr>
        <w:tab/>
      </w:r>
      <w:r w:rsidRPr="00CC1034">
        <w:rPr>
          <w:color w:val="auto"/>
          <w:lang w:val="el-GR"/>
        </w:rPr>
        <w:tab/>
      </w:r>
      <w:r w:rsidRPr="00CC1034">
        <w:rPr>
          <w:color w:val="auto"/>
          <w:lang w:val="el-GR"/>
        </w:rPr>
        <w:tab/>
        <w:t>3) Εναρμονισμένες πρακτικές</w:t>
      </w:r>
    </w:p>
    <w:p w14:paraId="0F999CBC" w14:textId="07535887" w:rsidR="000C4D54" w:rsidRPr="00CC1034" w:rsidRDefault="000C4D54" w:rsidP="000C4D54">
      <w:pPr>
        <w:pStyle w:val="Heading5"/>
        <w:ind w:left="1418"/>
        <w:rPr>
          <w:color w:val="auto"/>
          <w:lang w:val="el-GR"/>
        </w:rPr>
      </w:pPr>
      <w:r w:rsidRPr="00CC1034">
        <w:rPr>
          <w:color w:val="auto"/>
          <w:lang w:val="en-GB"/>
        </w:rPr>
        <w:t>ii</w:t>
      </w:r>
      <w:r w:rsidRPr="00CC1034">
        <w:rPr>
          <w:color w:val="auto"/>
          <w:lang w:val="el-GR"/>
        </w:rPr>
        <w:t xml:space="preserve">. </w:t>
      </w:r>
      <w:r w:rsidR="00953BC9" w:rsidRPr="00CC1034">
        <w:rPr>
          <w:color w:val="auto"/>
          <w:lang w:val="el-GR"/>
        </w:rPr>
        <w:t>Περιορισμός του ανταγωνισμού</w:t>
      </w:r>
    </w:p>
    <w:p w14:paraId="06662ADA" w14:textId="74FF063E" w:rsidR="00953BC9" w:rsidRPr="00CC1034" w:rsidRDefault="00953BC9" w:rsidP="00953BC9">
      <w:pPr>
        <w:pStyle w:val="Heading6"/>
        <w:ind w:left="2124"/>
        <w:rPr>
          <w:color w:val="auto"/>
          <w:lang w:val="el-GR"/>
        </w:rPr>
      </w:pPr>
      <w:r w:rsidRPr="00CC1034">
        <w:rPr>
          <w:color w:val="auto"/>
          <w:lang w:val="el-GR"/>
        </w:rPr>
        <w:t xml:space="preserve">1) </w:t>
      </w:r>
      <w:r w:rsidR="005E6C8F" w:rsidRPr="00CC1034">
        <w:rPr>
          <w:color w:val="auto"/>
          <w:lang w:val="el-GR"/>
        </w:rPr>
        <w:t>Έννοια του περιορισμού (αντικείμενο/αποτέλεσμα)</w:t>
      </w:r>
    </w:p>
    <w:p w14:paraId="18869C2E" w14:textId="617D34B7" w:rsidR="00953BC9" w:rsidRPr="00CC1034" w:rsidRDefault="00953BC9" w:rsidP="00953BC9">
      <w:pPr>
        <w:pStyle w:val="Heading6"/>
        <w:rPr>
          <w:color w:val="auto"/>
          <w:lang w:val="el-GR"/>
        </w:rPr>
      </w:pPr>
      <w:r w:rsidRPr="00CC1034">
        <w:rPr>
          <w:color w:val="auto"/>
          <w:lang w:val="el-GR"/>
        </w:rPr>
        <w:tab/>
      </w:r>
      <w:r w:rsidRPr="00CC1034">
        <w:rPr>
          <w:color w:val="auto"/>
          <w:lang w:val="el-GR"/>
        </w:rPr>
        <w:tab/>
      </w:r>
      <w:r w:rsidRPr="00CC1034">
        <w:rPr>
          <w:color w:val="auto"/>
          <w:lang w:val="el-GR"/>
        </w:rPr>
        <w:tab/>
        <w:t xml:space="preserve">2) </w:t>
      </w:r>
      <w:r w:rsidR="005E6C8F" w:rsidRPr="00CC1034">
        <w:rPr>
          <w:color w:val="auto"/>
          <w:lang w:val="el-GR"/>
        </w:rPr>
        <w:t xml:space="preserve">Η προϋπόθεση του αισθητού περιορισμού – ο κανόνας </w:t>
      </w:r>
      <w:r w:rsidR="005E6C8F" w:rsidRPr="00CC1034">
        <w:rPr>
          <w:color w:val="auto"/>
          <w:lang w:val="fr-BE"/>
        </w:rPr>
        <w:t>de</w:t>
      </w:r>
      <w:r w:rsidR="005E6C8F" w:rsidRPr="00CC1034">
        <w:rPr>
          <w:color w:val="auto"/>
          <w:lang w:val="el-GR"/>
        </w:rPr>
        <w:t xml:space="preserve"> </w:t>
      </w:r>
      <w:r w:rsidR="005E6C8F" w:rsidRPr="00CC1034">
        <w:rPr>
          <w:color w:val="auto"/>
          <w:lang w:val="fr-BE"/>
        </w:rPr>
        <w:t>minimis</w:t>
      </w:r>
    </w:p>
    <w:p w14:paraId="7F223FEA" w14:textId="7B630B54" w:rsidR="00953BC9" w:rsidRPr="00CC1034" w:rsidRDefault="00953BC9" w:rsidP="00953BC9">
      <w:pPr>
        <w:pStyle w:val="Heading7"/>
        <w:rPr>
          <w:color w:val="auto"/>
          <w:lang w:val="el-GR"/>
        </w:rPr>
      </w:pPr>
      <w:r w:rsidRPr="00CC1034">
        <w:rPr>
          <w:color w:val="auto"/>
          <w:lang w:val="el-GR"/>
        </w:rPr>
        <w:tab/>
      </w:r>
      <w:r w:rsidRPr="00CC1034">
        <w:rPr>
          <w:color w:val="auto"/>
          <w:lang w:val="el-GR"/>
        </w:rPr>
        <w:tab/>
      </w:r>
      <w:r w:rsidRPr="00CC1034">
        <w:rPr>
          <w:color w:val="auto"/>
          <w:lang w:val="el-GR"/>
        </w:rPr>
        <w:tab/>
        <w:t xml:space="preserve">3) </w:t>
      </w:r>
      <w:r w:rsidR="005E6C8F" w:rsidRPr="00CC1034">
        <w:rPr>
          <w:color w:val="auto"/>
          <w:lang w:val="fr-BE"/>
        </w:rPr>
        <w:t>O</w:t>
      </w:r>
      <w:r w:rsidR="005E6C8F" w:rsidRPr="00CC1034">
        <w:rPr>
          <w:color w:val="auto"/>
          <w:lang w:val="el-GR"/>
        </w:rPr>
        <w:t xml:space="preserve"> κανόνας της ελλόγου αιτίας (</w:t>
      </w:r>
      <w:r w:rsidR="005E6C8F" w:rsidRPr="00CC1034">
        <w:rPr>
          <w:color w:val="auto"/>
          <w:lang w:val="fr-BE"/>
        </w:rPr>
        <w:t>rule</w:t>
      </w:r>
      <w:r w:rsidR="005E6C8F" w:rsidRPr="00CC1034">
        <w:rPr>
          <w:color w:val="auto"/>
          <w:lang w:val="el-GR"/>
        </w:rPr>
        <w:t xml:space="preserve"> </w:t>
      </w:r>
      <w:r w:rsidR="005E6C8F" w:rsidRPr="00CC1034">
        <w:rPr>
          <w:color w:val="auto"/>
          <w:lang w:val="fr-BE"/>
        </w:rPr>
        <w:t>of</w:t>
      </w:r>
      <w:r w:rsidR="005E6C8F" w:rsidRPr="00CC1034">
        <w:rPr>
          <w:color w:val="auto"/>
          <w:lang w:val="el-GR"/>
        </w:rPr>
        <w:t xml:space="preserve"> </w:t>
      </w:r>
      <w:r w:rsidR="005E6C8F" w:rsidRPr="00CC1034">
        <w:rPr>
          <w:color w:val="auto"/>
          <w:lang w:val="fr-BE"/>
        </w:rPr>
        <w:t>reason</w:t>
      </w:r>
      <w:r w:rsidR="005E6C8F" w:rsidRPr="00CC1034">
        <w:rPr>
          <w:color w:val="auto"/>
          <w:lang w:val="el-GR"/>
        </w:rPr>
        <w:t>)</w:t>
      </w:r>
    </w:p>
    <w:p w14:paraId="131E9AFC" w14:textId="756F3C04" w:rsidR="000C4D54" w:rsidRPr="00CC1034" w:rsidRDefault="000C4D54" w:rsidP="008279D1">
      <w:pPr>
        <w:pStyle w:val="Heading5"/>
        <w:ind w:left="708" w:firstLine="708"/>
        <w:rPr>
          <w:color w:val="auto"/>
          <w:lang w:val="el-GR"/>
        </w:rPr>
      </w:pPr>
      <w:r w:rsidRPr="00CC1034">
        <w:rPr>
          <w:color w:val="auto"/>
          <w:lang w:val="en-GB"/>
        </w:rPr>
        <w:t>iii</w:t>
      </w:r>
      <w:r w:rsidRPr="00CC1034">
        <w:rPr>
          <w:color w:val="auto"/>
          <w:lang w:val="el-GR"/>
        </w:rPr>
        <w:t xml:space="preserve">. </w:t>
      </w:r>
      <w:r w:rsidR="00953BC9" w:rsidRPr="00CC1034">
        <w:rPr>
          <w:color w:val="auto"/>
          <w:lang w:val="el-GR"/>
        </w:rPr>
        <w:t>Παραδείγματα συμπράξεων</w:t>
      </w:r>
    </w:p>
    <w:p w14:paraId="3635F2DF" w14:textId="1E54CCA4" w:rsidR="00953BC9" w:rsidRPr="00CC1034" w:rsidRDefault="00953BC9" w:rsidP="00953BC9">
      <w:pPr>
        <w:pStyle w:val="Heading6"/>
        <w:ind w:left="2124"/>
        <w:rPr>
          <w:color w:val="auto"/>
          <w:lang w:val="el-GR"/>
        </w:rPr>
      </w:pPr>
      <w:r w:rsidRPr="00CC1034">
        <w:rPr>
          <w:color w:val="auto"/>
          <w:lang w:val="el-GR"/>
        </w:rPr>
        <w:t xml:space="preserve">1) </w:t>
      </w:r>
      <w:r w:rsidR="008B35BD" w:rsidRPr="00CC1034">
        <w:rPr>
          <w:color w:val="auto"/>
          <w:lang w:val="el-GR"/>
        </w:rPr>
        <w:t>Οριζόντιοι περιορισμοί</w:t>
      </w:r>
    </w:p>
    <w:p w14:paraId="4EB314DA" w14:textId="5CFAAE60" w:rsidR="00953BC9" w:rsidRPr="00CC1034" w:rsidRDefault="00953BC9" w:rsidP="00953BC9">
      <w:pPr>
        <w:pStyle w:val="Heading6"/>
        <w:rPr>
          <w:color w:val="auto"/>
          <w:lang w:val="el-GR"/>
        </w:rPr>
      </w:pPr>
      <w:r w:rsidRPr="00CC1034">
        <w:rPr>
          <w:color w:val="auto"/>
          <w:lang w:val="el-GR"/>
        </w:rPr>
        <w:tab/>
      </w:r>
      <w:r w:rsidRPr="00CC1034">
        <w:rPr>
          <w:color w:val="auto"/>
          <w:lang w:val="el-GR"/>
        </w:rPr>
        <w:tab/>
      </w:r>
      <w:r w:rsidRPr="00CC1034">
        <w:rPr>
          <w:color w:val="auto"/>
          <w:lang w:val="el-GR"/>
        </w:rPr>
        <w:tab/>
        <w:t xml:space="preserve">2) </w:t>
      </w:r>
      <w:r w:rsidR="008B35BD" w:rsidRPr="00CC1034">
        <w:rPr>
          <w:color w:val="auto"/>
          <w:lang w:val="el-GR"/>
        </w:rPr>
        <w:t>Κάθετοι περιορισμοί</w:t>
      </w:r>
    </w:p>
    <w:p w14:paraId="2B8545F1" w14:textId="6946921E" w:rsidR="00953BC9" w:rsidRPr="00CC1034" w:rsidRDefault="00953BC9" w:rsidP="00953BC9">
      <w:pPr>
        <w:pStyle w:val="Heading5"/>
        <w:ind w:left="1418"/>
        <w:rPr>
          <w:color w:val="auto"/>
          <w:lang w:val="el-GR"/>
        </w:rPr>
      </w:pPr>
      <w:r w:rsidRPr="00CC1034">
        <w:rPr>
          <w:color w:val="auto"/>
          <w:lang w:val="en-GB"/>
        </w:rPr>
        <w:t>i</w:t>
      </w:r>
      <w:r w:rsidRPr="00CC1034">
        <w:rPr>
          <w:color w:val="auto"/>
          <w:lang w:val="fr-BE"/>
        </w:rPr>
        <w:t>v</w:t>
      </w:r>
      <w:r w:rsidRPr="00CC1034">
        <w:rPr>
          <w:color w:val="auto"/>
          <w:lang w:val="el-GR"/>
        </w:rPr>
        <w:t xml:space="preserve">. </w:t>
      </w:r>
      <w:r w:rsidR="00C332F1" w:rsidRPr="00CC1034">
        <w:rPr>
          <w:color w:val="auto"/>
          <w:lang w:val="el-GR"/>
        </w:rPr>
        <w:t>Δυνατότητα απαλλαγής των περιοριστικών συμπράξεων</w:t>
      </w:r>
    </w:p>
    <w:p w14:paraId="32D8E6F9" w14:textId="08BAE1BC" w:rsidR="00953BC9" w:rsidRPr="00CC1034" w:rsidRDefault="00953BC9" w:rsidP="00953BC9">
      <w:pPr>
        <w:pStyle w:val="Heading6"/>
        <w:ind w:left="2124"/>
        <w:rPr>
          <w:color w:val="auto"/>
          <w:lang w:val="el-GR"/>
        </w:rPr>
      </w:pPr>
      <w:r w:rsidRPr="00CC1034">
        <w:rPr>
          <w:color w:val="auto"/>
          <w:lang w:val="el-GR"/>
        </w:rPr>
        <w:t xml:space="preserve">1) </w:t>
      </w:r>
      <w:r w:rsidR="00C332F1" w:rsidRPr="00CC1034">
        <w:rPr>
          <w:color w:val="auto"/>
          <w:lang w:val="el-GR"/>
        </w:rPr>
        <w:t>Ατομική απαλλαγή: Οι προϋποθέσεις εφαρμογής του άρθρου 101 παρ. 3 ΣΛΕΕ</w:t>
      </w:r>
    </w:p>
    <w:p w14:paraId="4621AFAE" w14:textId="3619FCE8" w:rsidR="00953BC9" w:rsidRPr="00CC1034" w:rsidRDefault="00953BC9" w:rsidP="00953BC9">
      <w:pPr>
        <w:pStyle w:val="Heading6"/>
        <w:rPr>
          <w:color w:val="auto"/>
          <w:lang w:val="el-GR"/>
        </w:rPr>
      </w:pPr>
      <w:r w:rsidRPr="00CC1034">
        <w:rPr>
          <w:color w:val="auto"/>
          <w:lang w:val="el-GR"/>
        </w:rPr>
        <w:tab/>
      </w:r>
      <w:r w:rsidRPr="00CC1034">
        <w:rPr>
          <w:color w:val="auto"/>
          <w:lang w:val="el-GR"/>
        </w:rPr>
        <w:tab/>
      </w:r>
      <w:r w:rsidRPr="00CC1034">
        <w:rPr>
          <w:color w:val="auto"/>
          <w:lang w:val="el-GR"/>
        </w:rPr>
        <w:tab/>
        <w:t xml:space="preserve">2) </w:t>
      </w:r>
      <w:r w:rsidR="00C332F1" w:rsidRPr="00CC1034">
        <w:rPr>
          <w:color w:val="auto"/>
          <w:lang w:val="el-GR"/>
        </w:rPr>
        <w:t>Απαλλαγή κατά κατηγορίες</w:t>
      </w:r>
    </w:p>
    <w:p w14:paraId="5FFADE7B" w14:textId="423F0681" w:rsidR="00953BC9" w:rsidRPr="00CC1034" w:rsidRDefault="00953BC9" w:rsidP="00953BC9">
      <w:pPr>
        <w:pStyle w:val="Heading6"/>
        <w:rPr>
          <w:color w:val="auto"/>
          <w:lang w:val="el-GR"/>
        </w:rPr>
      </w:pPr>
      <w:r w:rsidRPr="00CC1034">
        <w:rPr>
          <w:color w:val="auto"/>
          <w:lang w:val="el-GR"/>
        </w:rPr>
        <w:tab/>
      </w:r>
    </w:p>
    <w:p w14:paraId="517B3C7A" w14:textId="7C3EB2E5" w:rsidR="00033A1C" w:rsidRPr="00CC1034" w:rsidRDefault="00033A1C" w:rsidP="00CC1034">
      <w:pPr>
        <w:pStyle w:val="Heading4"/>
        <w:spacing w:before="0"/>
        <w:ind w:left="1418"/>
        <w:rPr>
          <w:color w:val="auto"/>
          <w:lang w:val="el-GR"/>
        </w:rPr>
      </w:pPr>
      <w:r w:rsidRPr="00CC1034">
        <w:rPr>
          <w:color w:val="auto"/>
          <w:lang w:val="el-GR"/>
        </w:rPr>
        <w:t>β. Η κατάχρηση δεσπόζουσας θέσης</w:t>
      </w:r>
    </w:p>
    <w:p w14:paraId="7E917123" w14:textId="50AF2705" w:rsidR="000C4D54" w:rsidRPr="00CC1034" w:rsidRDefault="000C4D54" w:rsidP="000C4D54">
      <w:pPr>
        <w:pStyle w:val="Heading5"/>
        <w:ind w:left="1418"/>
        <w:rPr>
          <w:color w:val="auto"/>
          <w:lang w:val="el-GR"/>
        </w:rPr>
      </w:pPr>
      <w:r w:rsidRPr="00CC1034">
        <w:rPr>
          <w:color w:val="auto"/>
          <w:lang w:val="en-GB"/>
        </w:rPr>
        <w:t>i</w:t>
      </w:r>
      <w:r w:rsidRPr="00CC1034">
        <w:rPr>
          <w:color w:val="auto"/>
          <w:lang w:val="el-GR"/>
        </w:rPr>
        <w:t xml:space="preserve">. Η έννοια της </w:t>
      </w:r>
      <w:r w:rsidR="002656D3" w:rsidRPr="00CC1034">
        <w:rPr>
          <w:color w:val="auto"/>
          <w:lang w:val="el-GR"/>
        </w:rPr>
        <w:t>δεσπόζουσας θέσης</w:t>
      </w:r>
    </w:p>
    <w:p w14:paraId="4BA2B26C" w14:textId="6B555D1E" w:rsidR="002656D3" w:rsidRPr="00CC1034" w:rsidRDefault="00FA71B8" w:rsidP="002656D3">
      <w:pPr>
        <w:pStyle w:val="Heading6"/>
        <w:ind w:left="2124"/>
        <w:rPr>
          <w:color w:val="auto"/>
          <w:lang w:val="el-GR"/>
        </w:rPr>
      </w:pPr>
      <w:r w:rsidRPr="00CC1034">
        <w:rPr>
          <w:color w:val="auto"/>
          <w:lang w:val="el-GR"/>
        </w:rPr>
        <w:t>1) Κριτήρια για τη διαπίστωση της ύπαρξης δεσπόζουσας θέσης</w:t>
      </w:r>
    </w:p>
    <w:p w14:paraId="4AFBDB1A" w14:textId="5F914B90" w:rsidR="002656D3" w:rsidRPr="00CC1034" w:rsidRDefault="002656D3" w:rsidP="00FA71B8">
      <w:pPr>
        <w:pStyle w:val="Heading6"/>
        <w:rPr>
          <w:color w:val="auto"/>
          <w:lang w:val="el-GR"/>
        </w:rPr>
      </w:pPr>
      <w:r w:rsidRPr="00CC1034">
        <w:rPr>
          <w:color w:val="auto"/>
          <w:lang w:val="el-GR"/>
        </w:rPr>
        <w:tab/>
      </w:r>
      <w:r w:rsidRPr="00CC1034">
        <w:rPr>
          <w:color w:val="auto"/>
          <w:lang w:val="el-GR"/>
        </w:rPr>
        <w:tab/>
      </w:r>
      <w:r w:rsidRPr="00CC1034">
        <w:rPr>
          <w:color w:val="auto"/>
          <w:lang w:val="el-GR"/>
        </w:rPr>
        <w:tab/>
        <w:t xml:space="preserve">2) </w:t>
      </w:r>
      <w:r w:rsidR="00FA71B8" w:rsidRPr="00CC1034">
        <w:rPr>
          <w:color w:val="auto"/>
          <w:lang w:val="el-GR"/>
        </w:rPr>
        <w:t>Μορφές δεσπόζουσας θέσης</w:t>
      </w:r>
      <w:r w:rsidRPr="00CC1034">
        <w:rPr>
          <w:color w:val="auto"/>
          <w:lang w:val="el-GR"/>
        </w:rPr>
        <w:tab/>
      </w:r>
      <w:r w:rsidRPr="00CC1034">
        <w:rPr>
          <w:color w:val="auto"/>
          <w:lang w:val="el-GR"/>
        </w:rPr>
        <w:tab/>
      </w:r>
      <w:r w:rsidRPr="00CC1034">
        <w:rPr>
          <w:color w:val="auto"/>
          <w:lang w:val="el-GR"/>
        </w:rPr>
        <w:tab/>
      </w:r>
    </w:p>
    <w:p w14:paraId="2CAE3FA1" w14:textId="20B69443" w:rsidR="000C4D54" w:rsidRPr="00CC1034" w:rsidRDefault="000C4D54" w:rsidP="000C4D54">
      <w:pPr>
        <w:pStyle w:val="Heading5"/>
        <w:ind w:left="1418"/>
        <w:rPr>
          <w:color w:val="auto"/>
          <w:lang w:val="el-GR"/>
        </w:rPr>
      </w:pPr>
      <w:r w:rsidRPr="00CC1034">
        <w:rPr>
          <w:color w:val="auto"/>
          <w:lang w:val="en-GB"/>
        </w:rPr>
        <w:t>ii</w:t>
      </w:r>
      <w:r w:rsidRPr="00CC1034">
        <w:rPr>
          <w:color w:val="auto"/>
          <w:lang w:val="el-GR"/>
        </w:rPr>
        <w:t xml:space="preserve">. Η </w:t>
      </w:r>
      <w:r w:rsidR="002656D3" w:rsidRPr="00CC1034">
        <w:rPr>
          <w:color w:val="auto"/>
          <w:lang w:val="el-GR"/>
        </w:rPr>
        <w:t>καταχρηστική εκμετάλλευση</w:t>
      </w:r>
    </w:p>
    <w:p w14:paraId="1FC1B18B" w14:textId="4BD483CC" w:rsidR="002656D3" w:rsidRPr="00CC1034" w:rsidRDefault="002656D3" w:rsidP="002656D3">
      <w:pPr>
        <w:pStyle w:val="Heading6"/>
        <w:ind w:left="2124"/>
        <w:rPr>
          <w:color w:val="auto"/>
          <w:lang w:val="el-GR"/>
        </w:rPr>
      </w:pPr>
      <w:r w:rsidRPr="00CC1034">
        <w:rPr>
          <w:color w:val="auto"/>
          <w:lang w:val="el-GR"/>
        </w:rPr>
        <w:t xml:space="preserve">1) Η </w:t>
      </w:r>
      <w:r w:rsidR="00FA71B8" w:rsidRPr="00CC1034">
        <w:rPr>
          <w:color w:val="auto"/>
          <w:lang w:val="el-GR"/>
        </w:rPr>
        <w:t>έννοια της καταχρηστικής εκμετάλλευσης</w:t>
      </w:r>
    </w:p>
    <w:p w14:paraId="64C4D69E" w14:textId="0F8CA6E9" w:rsidR="002656D3" w:rsidRPr="00CC1034" w:rsidRDefault="002656D3" w:rsidP="002656D3">
      <w:pPr>
        <w:pStyle w:val="Heading6"/>
        <w:rPr>
          <w:color w:val="auto"/>
          <w:lang w:val="el-GR"/>
        </w:rPr>
      </w:pPr>
      <w:r w:rsidRPr="00CC1034">
        <w:rPr>
          <w:color w:val="auto"/>
          <w:lang w:val="el-GR"/>
        </w:rPr>
        <w:tab/>
      </w:r>
      <w:r w:rsidRPr="00CC1034">
        <w:rPr>
          <w:color w:val="auto"/>
          <w:lang w:val="el-GR"/>
        </w:rPr>
        <w:tab/>
      </w:r>
      <w:r w:rsidRPr="00CC1034">
        <w:rPr>
          <w:color w:val="auto"/>
          <w:lang w:val="el-GR"/>
        </w:rPr>
        <w:tab/>
        <w:t xml:space="preserve">2) </w:t>
      </w:r>
      <w:r w:rsidR="00FA71B8" w:rsidRPr="00CC1034">
        <w:rPr>
          <w:color w:val="auto"/>
          <w:lang w:val="el-GR"/>
        </w:rPr>
        <w:t>Μορφές της καταχρηστικής εκμετάλλευσης</w:t>
      </w:r>
    </w:p>
    <w:p w14:paraId="3374B7EA" w14:textId="14D88132" w:rsidR="00DA3538" w:rsidRPr="00CC1034" w:rsidRDefault="00DA3538" w:rsidP="00FA71B8">
      <w:pPr>
        <w:pStyle w:val="Heading7"/>
        <w:ind w:left="2832" w:firstLine="3"/>
        <w:rPr>
          <w:color w:val="auto"/>
          <w:lang w:val="el-GR"/>
        </w:rPr>
      </w:pPr>
      <w:r w:rsidRPr="00CC1034">
        <w:rPr>
          <w:color w:val="auto"/>
          <w:lang w:val="el-GR"/>
        </w:rPr>
        <w:t>α) Επιβολή μη δίκαιων τιμών ή άλλων όρων συναλλαγής</w:t>
      </w:r>
    </w:p>
    <w:p w14:paraId="50E120EC" w14:textId="1D66B802" w:rsidR="00DA3538" w:rsidRPr="00CC1034" w:rsidRDefault="00DA3538" w:rsidP="00FA71B8">
      <w:pPr>
        <w:pStyle w:val="Heading7"/>
        <w:ind w:left="2832" w:firstLine="3"/>
        <w:rPr>
          <w:color w:val="auto"/>
          <w:lang w:val="el-GR"/>
        </w:rPr>
      </w:pPr>
      <w:r w:rsidRPr="00CC1034">
        <w:rPr>
          <w:color w:val="auto"/>
          <w:lang w:val="el-GR"/>
        </w:rPr>
        <w:t>β) Επιθετική τιμολόγηση (</w:t>
      </w:r>
      <w:r w:rsidRPr="00CC1034">
        <w:rPr>
          <w:color w:val="auto"/>
          <w:lang w:val="en-GB"/>
        </w:rPr>
        <w:t>predatory</w:t>
      </w:r>
      <w:r w:rsidRPr="00CC1034">
        <w:rPr>
          <w:color w:val="auto"/>
          <w:lang w:val="el-GR"/>
        </w:rPr>
        <w:t xml:space="preserve"> </w:t>
      </w:r>
      <w:r w:rsidRPr="00CC1034">
        <w:rPr>
          <w:color w:val="auto"/>
          <w:lang w:val="en-GB"/>
        </w:rPr>
        <w:t>pricing</w:t>
      </w:r>
      <w:r w:rsidRPr="00CC1034">
        <w:rPr>
          <w:color w:val="auto"/>
          <w:lang w:val="el-GR"/>
        </w:rPr>
        <w:t>)</w:t>
      </w:r>
    </w:p>
    <w:p w14:paraId="6E6A6348" w14:textId="7D3CB989" w:rsidR="002656D3" w:rsidRPr="00CC1034" w:rsidRDefault="006D0EE6" w:rsidP="00FA71B8">
      <w:pPr>
        <w:pStyle w:val="Heading7"/>
        <w:ind w:left="2832" w:firstLine="3"/>
        <w:rPr>
          <w:color w:val="auto"/>
          <w:lang w:val="el-GR"/>
        </w:rPr>
      </w:pPr>
      <w:r w:rsidRPr="00CC1034">
        <w:rPr>
          <w:color w:val="auto"/>
          <w:lang w:val="el-GR"/>
        </w:rPr>
        <w:t>γ</w:t>
      </w:r>
      <w:r w:rsidR="002656D3" w:rsidRPr="00CC1034">
        <w:rPr>
          <w:color w:val="auto"/>
          <w:lang w:val="el-GR"/>
        </w:rPr>
        <w:t xml:space="preserve">) </w:t>
      </w:r>
      <w:r w:rsidR="00FA71B8" w:rsidRPr="00CC1034">
        <w:rPr>
          <w:color w:val="auto"/>
          <w:lang w:val="el-GR"/>
        </w:rPr>
        <w:t>Άρνηση πώλησης-προμήθειας και συμπίεση του περιθωρίου κέρδους</w:t>
      </w:r>
      <w:r w:rsidR="00DA3538" w:rsidRPr="00CC1034">
        <w:rPr>
          <w:color w:val="auto"/>
          <w:lang w:val="el-GR"/>
        </w:rPr>
        <w:t xml:space="preserve"> (</w:t>
      </w:r>
      <w:r w:rsidR="00DA3538" w:rsidRPr="00CC1034">
        <w:rPr>
          <w:color w:val="auto"/>
          <w:lang w:val="fr-BE"/>
        </w:rPr>
        <w:t>margin</w:t>
      </w:r>
      <w:r w:rsidR="00DA3538" w:rsidRPr="00CC1034">
        <w:rPr>
          <w:color w:val="auto"/>
          <w:lang w:val="el-GR"/>
        </w:rPr>
        <w:t xml:space="preserve"> </w:t>
      </w:r>
      <w:r w:rsidR="00DA3538" w:rsidRPr="00CC1034">
        <w:rPr>
          <w:color w:val="auto"/>
          <w:lang w:val="fr-BE"/>
        </w:rPr>
        <w:t>squeeze</w:t>
      </w:r>
      <w:r w:rsidR="00DA3538" w:rsidRPr="00CC1034">
        <w:rPr>
          <w:color w:val="auto"/>
          <w:lang w:val="el-GR"/>
        </w:rPr>
        <w:t>)</w:t>
      </w:r>
    </w:p>
    <w:p w14:paraId="026FB2FA" w14:textId="222ABCEE" w:rsidR="002656D3" w:rsidRPr="00CC1034" w:rsidRDefault="006D0EE6" w:rsidP="00DA3538">
      <w:pPr>
        <w:pStyle w:val="Heading7"/>
        <w:ind w:left="2832" w:firstLine="3"/>
        <w:rPr>
          <w:color w:val="auto"/>
          <w:lang w:val="el-GR"/>
        </w:rPr>
      </w:pPr>
      <w:r w:rsidRPr="00CC1034">
        <w:rPr>
          <w:color w:val="auto"/>
          <w:lang w:val="el-GR"/>
        </w:rPr>
        <w:t>δ</w:t>
      </w:r>
      <w:r w:rsidR="002656D3" w:rsidRPr="00CC1034">
        <w:rPr>
          <w:color w:val="auto"/>
          <w:lang w:val="el-GR"/>
        </w:rPr>
        <w:t xml:space="preserve">) </w:t>
      </w:r>
      <w:r w:rsidR="00FA71B8" w:rsidRPr="00CC1034">
        <w:rPr>
          <w:color w:val="auto"/>
          <w:lang w:val="el-GR"/>
        </w:rPr>
        <w:t>Συμφωνίες αποκλειστικότητας</w:t>
      </w:r>
      <w:r w:rsidR="00DA3538" w:rsidRPr="00CC1034">
        <w:rPr>
          <w:color w:val="auto"/>
          <w:lang w:val="el-GR"/>
        </w:rPr>
        <w:t xml:space="preserve"> (υποχρέωση αποκλειστικής αγοράς – εκπτωτική πολιτική)</w:t>
      </w:r>
    </w:p>
    <w:p w14:paraId="0C462A8A" w14:textId="51F21F6E" w:rsidR="00FA71B8" w:rsidRPr="00CC1034" w:rsidRDefault="006D0EE6" w:rsidP="00DA3538">
      <w:pPr>
        <w:pStyle w:val="Heading7"/>
        <w:ind w:left="2832"/>
        <w:rPr>
          <w:color w:val="auto"/>
          <w:lang w:val="el-GR"/>
        </w:rPr>
      </w:pPr>
      <w:r w:rsidRPr="00CC1034">
        <w:rPr>
          <w:color w:val="auto"/>
          <w:lang w:val="el-GR"/>
        </w:rPr>
        <w:t>ε</w:t>
      </w:r>
      <w:r w:rsidR="00FA71B8" w:rsidRPr="00CC1034">
        <w:rPr>
          <w:color w:val="auto"/>
          <w:lang w:val="el-GR"/>
        </w:rPr>
        <w:t xml:space="preserve">) </w:t>
      </w:r>
      <w:r w:rsidR="00DA3538" w:rsidRPr="00CC1034">
        <w:rPr>
          <w:color w:val="auto"/>
          <w:lang w:val="el-GR"/>
        </w:rPr>
        <w:t>Υποχρέωση αποδοχής ή εξώθηση αποδοχής πρόσθετων μη αναγκαίων προϊόντων ή υπηρεσιών (</w:t>
      </w:r>
      <w:r w:rsidR="00DA3538" w:rsidRPr="00CC1034">
        <w:rPr>
          <w:color w:val="auto"/>
          <w:lang w:val="fr-BE"/>
        </w:rPr>
        <w:t>tying</w:t>
      </w:r>
      <w:r w:rsidR="00DA3538" w:rsidRPr="00CC1034">
        <w:rPr>
          <w:color w:val="auto"/>
          <w:lang w:val="el-GR"/>
        </w:rPr>
        <w:t xml:space="preserve"> </w:t>
      </w:r>
      <w:r w:rsidR="00DA3538" w:rsidRPr="00CC1034">
        <w:rPr>
          <w:color w:val="auto"/>
          <w:lang w:val="fr-BE"/>
        </w:rPr>
        <w:t>and</w:t>
      </w:r>
      <w:r w:rsidR="00DA3538" w:rsidRPr="00CC1034">
        <w:rPr>
          <w:color w:val="auto"/>
          <w:lang w:val="el-GR"/>
        </w:rPr>
        <w:t xml:space="preserve"> </w:t>
      </w:r>
      <w:r w:rsidR="00DA3538" w:rsidRPr="00CC1034">
        <w:rPr>
          <w:color w:val="auto"/>
          <w:lang w:val="fr-BE"/>
        </w:rPr>
        <w:t>bundling</w:t>
      </w:r>
      <w:r w:rsidR="00DA3538" w:rsidRPr="00CC1034">
        <w:rPr>
          <w:color w:val="auto"/>
          <w:lang w:val="el-GR"/>
        </w:rPr>
        <w:t>)</w:t>
      </w:r>
    </w:p>
    <w:p w14:paraId="700575E7" w14:textId="77777777" w:rsidR="00953BC9" w:rsidRPr="00CC1034" w:rsidRDefault="00953BC9" w:rsidP="00CC1034">
      <w:pPr>
        <w:pStyle w:val="Heading4"/>
        <w:spacing w:before="0"/>
        <w:ind w:left="1418"/>
        <w:rPr>
          <w:color w:val="auto"/>
          <w:lang w:val="el-GR"/>
        </w:rPr>
      </w:pPr>
    </w:p>
    <w:p w14:paraId="4F6236B6" w14:textId="38C51836" w:rsidR="00033A1C" w:rsidRPr="00CC1034" w:rsidRDefault="00033A1C" w:rsidP="00033A1C">
      <w:pPr>
        <w:pStyle w:val="Heading4"/>
        <w:ind w:left="1418"/>
        <w:rPr>
          <w:color w:val="auto"/>
          <w:lang w:val="el-GR"/>
        </w:rPr>
      </w:pPr>
      <w:r w:rsidRPr="00CC1034">
        <w:rPr>
          <w:color w:val="auto"/>
          <w:lang w:val="el-GR"/>
        </w:rPr>
        <w:t>γ. Η εφαρμογή των άρθρων 101 και 102 ΣΛΕΕ</w:t>
      </w:r>
    </w:p>
    <w:p w14:paraId="48F857D4" w14:textId="6C9A6226" w:rsidR="000C4D54" w:rsidRPr="00CC1034" w:rsidRDefault="000C4D54" w:rsidP="00884D51">
      <w:pPr>
        <w:pStyle w:val="Heading5"/>
        <w:ind w:left="1418"/>
        <w:rPr>
          <w:color w:val="auto"/>
          <w:lang w:val="el-GR"/>
        </w:rPr>
      </w:pPr>
      <w:r w:rsidRPr="00CC1034">
        <w:rPr>
          <w:color w:val="auto"/>
          <w:lang w:val="en-GB"/>
        </w:rPr>
        <w:t>i</w:t>
      </w:r>
      <w:r w:rsidRPr="00CC1034">
        <w:rPr>
          <w:color w:val="auto"/>
          <w:lang w:val="el-GR"/>
        </w:rPr>
        <w:t xml:space="preserve">. </w:t>
      </w:r>
      <w:r w:rsidR="00884D51" w:rsidRPr="00CC1034">
        <w:rPr>
          <w:color w:val="auto"/>
          <w:lang w:val="el-GR"/>
        </w:rPr>
        <w:t xml:space="preserve">Ο κανονισμός 1/2003 - Η αποκεντρωμένη εφαρμογή των άρθρων 101, 102 ΣΛΕΕ </w:t>
      </w:r>
    </w:p>
    <w:p w14:paraId="789C2680" w14:textId="196444F8" w:rsidR="00884D51" w:rsidRPr="00CC1034" w:rsidRDefault="00884D51" w:rsidP="00884D51">
      <w:pPr>
        <w:pStyle w:val="Heading6"/>
        <w:ind w:left="2124"/>
        <w:rPr>
          <w:color w:val="auto"/>
          <w:lang w:val="el-GR"/>
        </w:rPr>
      </w:pPr>
      <w:r w:rsidRPr="00CC1034">
        <w:rPr>
          <w:color w:val="auto"/>
          <w:lang w:val="el-GR"/>
        </w:rPr>
        <w:t xml:space="preserve">1) </w:t>
      </w:r>
      <w:r w:rsidR="00E50E90" w:rsidRPr="00CC1034">
        <w:rPr>
          <w:color w:val="auto"/>
          <w:lang w:val="el-GR"/>
        </w:rPr>
        <w:t>Η αυτόματη απαλλαγή των περιοριστικών συμπράξεων που εμπίπτουν στη παρ. 3 του άρθρου 101 ΣΛΕΕ</w:t>
      </w:r>
    </w:p>
    <w:p w14:paraId="197DFCB4" w14:textId="4A40486F" w:rsidR="00884D51" w:rsidRPr="00CC1034" w:rsidRDefault="00884D51" w:rsidP="00E50E90">
      <w:pPr>
        <w:pStyle w:val="Heading6"/>
        <w:ind w:left="2124" w:firstLine="6"/>
        <w:rPr>
          <w:color w:val="auto"/>
          <w:lang w:val="el-GR"/>
        </w:rPr>
      </w:pPr>
      <w:r w:rsidRPr="00CC1034">
        <w:rPr>
          <w:color w:val="auto"/>
          <w:lang w:val="el-GR"/>
        </w:rPr>
        <w:t xml:space="preserve">2) </w:t>
      </w:r>
      <w:r w:rsidR="00E50E90" w:rsidRPr="00CC1034">
        <w:rPr>
          <w:color w:val="auto"/>
          <w:lang w:val="el-GR"/>
        </w:rPr>
        <w:t xml:space="preserve">Η κατανομή αρμοδιοτήτων μεταξύ της Επιτροπής, των εθνικών αρχών ανταγωνισμού και των εθνικών δικαστηρίων </w:t>
      </w:r>
    </w:p>
    <w:p w14:paraId="11545724" w14:textId="041D00AA" w:rsidR="00884D51" w:rsidRPr="00CC1034" w:rsidRDefault="00884D51" w:rsidP="00884D51">
      <w:pPr>
        <w:pStyle w:val="Heading7"/>
        <w:ind w:left="2832" w:firstLine="3"/>
        <w:rPr>
          <w:color w:val="auto"/>
          <w:lang w:val="el-GR"/>
        </w:rPr>
      </w:pPr>
      <w:r w:rsidRPr="00CC1034">
        <w:rPr>
          <w:color w:val="auto"/>
          <w:lang w:val="el-GR"/>
        </w:rPr>
        <w:t xml:space="preserve">α) </w:t>
      </w:r>
      <w:r w:rsidR="006D0EE6" w:rsidRPr="00CC1034">
        <w:rPr>
          <w:color w:val="auto"/>
          <w:lang w:val="el-GR"/>
        </w:rPr>
        <w:t xml:space="preserve">Οι εξουσίες της Επιτροπής </w:t>
      </w:r>
    </w:p>
    <w:p w14:paraId="6B9FBA12" w14:textId="47699D86" w:rsidR="00884D51" w:rsidRPr="00CC1034" w:rsidRDefault="00884D51" w:rsidP="00884D51">
      <w:pPr>
        <w:pStyle w:val="Heading7"/>
        <w:ind w:left="2832" w:firstLine="3"/>
        <w:rPr>
          <w:color w:val="auto"/>
          <w:lang w:val="el-GR"/>
        </w:rPr>
      </w:pPr>
      <w:r w:rsidRPr="00CC1034">
        <w:rPr>
          <w:color w:val="auto"/>
          <w:lang w:val="el-GR"/>
        </w:rPr>
        <w:t xml:space="preserve">β) </w:t>
      </w:r>
      <w:r w:rsidR="006D0EE6" w:rsidRPr="00CC1034">
        <w:rPr>
          <w:color w:val="auto"/>
          <w:lang w:val="el-GR"/>
        </w:rPr>
        <w:t>Οι αρμοδιότητες των εθνικών αρχών ανταγωνισμού – η συνεργασία μεταξύ  των εθνικών αρχών ανταγωνισμού και της Επιτροπής</w:t>
      </w:r>
    </w:p>
    <w:p w14:paraId="087CACC4" w14:textId="50F6D539" w:rsidR="006D0EE6" w:rsidRPr="00CC1034" w:rsidRDefault="006D0EE6" w:rsidP="006D0EE6">
      <w:pPr>
        <w:pStyle w:val="Heading7"/>
        <w:ind w:left="2832" w:firstLine="3"/>
        <w:rPr>
          <w:color w:val="auto"/>
          <w:lang w:val="el-GR"/>
        </w:rPr>
      </w:pPr>
      <w:r w:rsidRPr="00CC1034">
        <w:rPr>
          <w:color w:val="auto"/>
          <w:lang w:val="el-GR"/>
        </w:rPr>
        <w:t>γ) Οι αρμοδιότητες των εθνικών δικαστηρίων</w:t>
      </w:r>
    </w:p>
    <w:p w14:paraId="3533C7B9" w14:textId="19935B9B" w:rsidR="006D0EE6" w:rsidRPr="00CC1034" w:rsidRDefault="000C4D54" w:rsidP="000C4D54">
      <w:pPr>
        <w:pStyle w:val="Heading5"/>
        <w:ind w:left="1418"/>
        <w:rPr>
          <w:color w:val="auto"/>
          <w:lang w:val="el-GR"/>
        </w:rPr>
      </w:pPr>
      <w:r w:rsidRPr="00CC1034">
        <w:rPr>
          <w:color w:val="auto"/>
          <w:lang w:val="en-GB"/>
        </w:rPr>
        <w:t>ii</w:t>
      </w:r>
      <w:r w:rsidRPr="00CC1034">
        <w:rPr>
          <w:color w:val="auto"/>
          <w:lang w:val="el-GR"/>
        </w:rPr>
        <w:t xml:space="preserve">. </w:t>
      </w:r>
      <w:r w:rsidR="006D0EE6" w:rsidRPr="00CC1034">
        <w:rPr>
          <w:color w:val="auto"/>
          <w:lang w:val="el-GR"/>
        </w:rPr>
        <w:t>Ειδικά δικονομικά ζητήματα</w:t>
      </w:r>
    </w:p>
    <w:p w14:paraId="1B1AF467" w14:textId="15CAA11C" w:rsidR="006D0EE6" w:rsidRPr="00CC1034" w:rsidRDefault="0059783A" w:rsidP="006D0EE6">
      <w:pPr>
        <w:pStyle w:val="Heading6"/>
        <w:ind w:left="2124"/>
        <w:rPr>
          <w:color w:val="auto"/>
          <w:lang w:val="el-GR"/>
        </w:rPr>
      </w:pPr>
      <w:r w:rsidRPr="00CC1034">
        <w:rPr>
          <w:color w:val="auto"/>
          <w:lang w:val="el-GR"/>
        </w:rPr>
        <w:t xml:space="preserve"> </w:t>
      </w:r>
      <w:r w:rsidR="006D0EE6" w:rsidRPr="00CC1034">
        <w:rPr>
          <w:color w:val="auto"/>
          <w:lang w:val="el-GR"/>
        </w:rPr>
        <w:t>1) Η διασφάλιση των δικαιωμάτων άμυνας των υπόλογων επιχειρήσεων</w:t>
      </w:r>
    </w:p>
    <w:p w14:paraId="741ECC83" w14:textId="3294FB0B" w:rsidR="006D0EE6" w:rsidRPr="00CC1034" w:rsidRDefault="006D0EE6" w:rsidP="006D0EE6">
      <w:pPr>
        <w:pStyle w:val="Heading6"/>
        <w:ind w:left="2124" w:firstLine="6"/>
        <w:rPr>
          <w:color w:val="auto"/>
          <w:lang w:val="el-GR"/>
        </w:rPr>
      </w:pPr>
      <w:r w:rsidRPr="00CC1034">
        <w:rPr>
          <w:color w:val="auto"/>
          <w:lang w:val="el-GR"/>
        </w:rPr>
        <w:t>2) Τα προγράμματα επιείκειας</w:t>
      </w:r>
    </w:p>
    <w:p w14:paraId="767AFDB9" w14:textId="060DD29F" w:rsidR="006D0EE6" w:rsidRPr="00CC1034" w:rsidRDefault="006D0EE6" w:rsidP="006D0EE6">
      <w:pPr>
        <w:pStyle w:val="Heading6"/>
        <w:ind w:left="2124"/>
        <w:rPr>
          <w:color w:val="auto"/>
          <w:lang w:val="el-GR"/>
        </w:rPr>
      </w:pPr>
      <w:r w:rsidRPr="00CC1034">
        <w:rPr>
          <w:color w:val="auto"/>
          <w:lang w:val="el-GR"/>
        </w:rPr>
        <w:t>3) Η δυνατότητα ανάληψης δεσμεύσεων</w:t>
      </w:r>
    </w:p>
    <w:p w14:paraId="67649D50" w14:textId="65EE2336" w:rsidR="006D0EE6" w:rsidRPr="00CC1034" w:rsidRDefault="006D0EE6" w:rsidP="006D0EE6">
      <w:pPr>
        <w:pStyle w:val="Heading6"/>
        <w:ind w:left="2124" w:firstLine="6"/>
        <w:rPr>
          <w:color w:val="auto"/>
          <w:lang w:val="el-GR"/>
        </w:rPr>
      </w:pPr>
      <w:r w:rsidRPr="00CC1034">
        <w:rPr>
          <w:color w:val="auto"/>
          <w:lang w:val="el-GR"/>
        </w:rPr>
        <w:t>4) Η επιβολή προστίμων και χρηματικών ποινών</w:t>
      </w:r>
    </w:p>
    <w:p w14:paraId="615BB61B" w14:textId="6D12E1B7" w:rsidR="006D0EE6" w:rsidRPr="00CC1034" w:rsidRDefault="006D0EE6" w:rsidP="006D0EE6">
      <w:pPr>
        <w:pStyle w:val="Heading6"/>
        <w:ind w:left="2124" w:firstLine="6"/>
        <w:rPr>
          <w:color w:val="auto"/>
          <w:lang w:val="el-GR"/>
        </w:rPr>
      </w:pPr>
      <w:r w:rsidRPr="00CC1034">
        <w:rPr>
          <w:color w:val="auto"/>
          <w:lang w:val="el-GR"/>
        </w:rPr>
        <w:t>5) Η έννομη προστασία των υπόλογων επιχειρήσεων</w:t>
      </w:r>
    </w:p>
    <w:p w14:paraId="186FA459" w14:textId="38A45DC0" w:rsidR="006D0EE6" w:rsidRPr="00CC1034" w:rsidRDefault="006D0EE6" w:rsidP="006D0EE6">
      <w:pPr>
        <w:rPr>
          <w:lang w:val="el-GR"/>
        </w:rPr>
      </w:pPr>
    </w:p>
    <w:p w14:paraId="2450CC47" w14:textId="44EF29BD" w:rsidR="000C4D54" w:rsidRPr="00CC1034" w:rsidRDefault="000C4D54" w:rsidP="000C4D54">
      <w:pPr>
        <w:pStyle w:val="Heading5"/>
        <w:ind w:left="1418"/>
        <w:rPr>
          <w:color w:val="auto"/>
          <w:lang w:val="el-GR"/>
        </w:rPr>
      </w:pPr>
      <w:r w:rsidRPr="00CC1034">
        <w:rPr>
          <w:color w:val="auto"/>
          <w:lang w:val="en-GB"/>
        </w:rPr>
        <w:t>iii</w:t>
      </w:r>
      <w:r w:rsidRPr="00CC1034">
        <w:rPr>
          <w:color w:val="auto"/>
          <w:lang w:val="el-GR"/>
        </w:rPr>
        <w:t xml:space="preserve">. </w:t>
      </w:r>
      <w:r w:rsidR="0059783A" w:rsidRPr="00CC1034">
        <w:rPr>
          <w:color w:val="auto"/>
          <w:lang w:val="el-GR"/>
        </w:rPr>
        <w:t>Αστικές συνέπειες της παράβασης των άρθρων 101 και 102 ΣΛΕΕ</w:t>
      </w:r>
    </w:p>
    <w:p w14:paraId="6F578A5C" w14:textId="3A817048" w:rsidR="0059783A" w:rsidRPr="00CC1034" w:rsidRDefault="0059783A" w:rsidP="0059783A">
      <w:pPr>
        <w:pStyle w:val="Heading6"/>
        <w:ind w:left="2124"/>
        <w:rPr>
          <w:color w:val="auto"/>
          <w:lang w:val="el-GR"/>
        </w:rPr>
      </w:pPr>
      <w:r w:rsidRPr="00CC1034">
        <w:rPr>
          <w:color w:val="auto"/>
          <w:lang w:val="el-GR"/>
        </w:rPr>
        <w:t>1) Η ακυρότητα</w:t>
      </w:r>
    </w:p>
    <w:p w14:paraId="0C63CE41" w14:textId="1DCE1D9F" w:rsidR="0059783A" w:rsidRPr="00CC1034" w:rsidRDefault="0059783A" w:rsidP="0059783A">
      <w:pPr>
        <w:pStyle w:val="Heading6"/>
        <w:rPr>
          <w:color w:val="auto"/>
          <w:lang w:val="el-GR"/>
        </w:rPr>
      </w:pPr>
      <w:r w:rsidRPr="00CC1034">
        <w:rPr>
          <w:color w:val="auto"/>
          <w:lang w:val="el-GR"/>
        </w:rPr>
        <w:tab/>
      </w:r>
      <w:r w:rsidRPr="00CC1034">
        <w:rPr>
          <w:color w:val="auto"/>
          <w:lang w:val="el-GR"/>
        </w:rPr>
        <w:tab/>
      </w:r>
      <w:r w:rsidRPr="00CC1034">
        <w:rPr>
          <w:color w:val="auto"/>
          <w:lang w:val="el-GR"/>
        </w:rPr>
        <w:tab/>
        <w:t>2) Η αξίωση αποζημίωσης – Η οδηγία 2014/104</w:t>
      </w:r>
    </w:p>
    <w:p w14:paraId="2EF6B130" w14:textId="77777777" w:rsidR="000C4D54" w:rsidRPr="00CC1034" w:rsidRDefault="000C4D54" w:rsidP="000C4D54">
      <w:pPr>
        <w:rPr>
          <w:lang w:val="el-GR"/>
        </w:rPr>
      </w:pPr>
    </w:p>
    <w:p w14:paraId="6431498B" w14:textId="4CF2CCBD" w:rsidR="003A1D63" w:rsidRPr="00CC1034" w:rsidRDefault="00033A1C" w:rsidP="003A1D63">
      <w:pPr>
        <w:pStyle w:val="Heading3"/>
        <w:ind w:firstLine="708"/>
        <w:rPr>
          <w:color w:val="auto"/>
          <w:lang w:val="el-GR"/>
        </w:rPr>
      </w:pPr>
      <w:r w:rsidRPr="00CC1034">
        <w:rPr>
          <w:color w:val="auto"/>
          <w:lang w:val="el-GR"/>
        </w:rPr>
        <w:t>3</w:t>
      </w:r>
      <w:r w:rsidR="003A1D63" w:rsidRPr="00CC1034">
        <w:rPr>
          <w:color w:val="auto"/>
          <w:lang w:val="el-GR"/>
        </w:rPr>
        <w:t xml:space="preserve">. </w:t>
      </w:r>
      <w:r w:rsidR="00B14FD5" w:rsidRPr="00CC1034">
        <w:rPr>
          <w:color w:val="auto"/>
          <w:lang w:val="el-GR"/>
        </w:rPr>
        <w:t>Ο έλεγχος των σ</w:t>
      </w:r>
      <w:r w:rsidR="003A1D63" w:rsidRPr="00CC1034">
        <w:rPr>
          <w:color w:val="auto"/>
          <w:lang w:val="el-GR"/>
        </w:rPr>
        <w:t>υγ</w:t>
      </w:r>
      <w:r w:rsidR="00B14FD5" w:rsidRPr="00CC1034">
        <w:rPr>
          <w:color w:val="auto"/>
          <w:lang w:val="el-GR"/>
        </w:rPr>
        <w:t>κεντρώσεων</w:t>
      </w:r>
      <w:r w:rsidR="003A1D63" w:rsidRPr="00CC1034">
        <w:rPr>
          <w:color w:val="auto"/>
          <w:lang w:val="el-GR"/>
        </w:rPr>
        <w:t xml:space="preserve"> επιχειρήσεων</w:t>
      </w:r>
    </w:p>
    <w:p w14:paraId="25986F69" w14:textId="5E0684E6" w:rsidR="00C82F24" w:rsidRPr="00CC1034" w:rsidRDefault="00033A1C" w:rsidP="00033A1C">
      <w:pPr>
        <w:pStyle w:val="Heading4"/>
        <w:ind w:left="1418"/>
        <w:rPr>
          <w:color w:val="auto"/>
          <w:lang w:val="el-GR"/>
        </w:rPr>
      </w:pPr>
      <w:r w:rsidRPr="00CC1034">
        <w:rPr>
          <w:color w:val="auto"/>
          <w:lang w:val="el-GR"/>
        </w:rPr>
        <w:t xml:space="preserve">α. </w:t>
      </w:r>
      <w:r w:rsidR="00CF18B3" w:rsidRPr="00CC1034">
        <w:rPr>
          <w:color w:val="auto"/>
          <w:lang w:val="el-GR"/>
        </w:rPr>
        <w:t xml:space="preserve">Οι λόγοι θέσπισης ειδικού πλαισίου για </w:t>
      </w:r>
      <w:r w:rsidR="000C4D6A" w:rsidRPr="00CC1034">
        <w:rPr>
          <w:color w:val="auto"/>
          <w:lang w:val="el-GR"/>
        </w:rPr>
        <w:t>τις συγκεντρώσεις επιχειρήσεων σε ενωσιακό επίπεδο</w:t>
      </w:r>
    </w:p>
    <w:p w14:paraId="0C61EEE2" w14:textId="0F555FC1" w:rsidR="00033A1C" w:rsidRPr="00CC1034" w:rsidRDefault="00C82F24" w:rsidP="00033A1C">
      <w:pPr>
        <w:pStyle w:val="Heading4"/>
        <w:ind w:left="1418"/>
        <w:rPr>
          <w:color w:val="auto"/>
          <w:lang w:val="el-GR"/>
        </w:rPr>
      </w:pPr>
      <w:r w:rsidRPr="00CC1034">
        <w:rPr>
          <w:color w:val="auto"/>
          <w:lang w:val="el-GR"/>
        </w:rPr>
        <w:t xml:space="preserve">β. </w:t>
      </w:r>
      <w:r w:rsidR="00033A1C" w:rsidRPr="00CC1034">
        <w:rPr>
          <w:color w:val="auto"/>
          <w:lang w:val="el-GR"/>
        </w:rPr>
        <w:t>Πεδίο εφαρμογής του κανονισμού 139/2004</w:t>
      </w:r>
    </w:p>
    <w:p w14:paraId="5F05BF1B" w14:textId="0CED1829" w:rsidR="004554A1" w:rsidRPr="00CC1034" w:rsidRDefault="004554A1" w:rsidP="004554A1">
      <w:pPr>
        <w:pStyle w:val="Heading5"/>
        <w:ind w:left="1418"/>
        <w:rPr>
          <w:color w:val="auto"/>
          <w:lang w:val="el-GR"/>
        </w:rPr>
      </w:pPr>
      <w:r w:rsidRPr="00CC1034">
        <w:rPr>
          <w:color w:val="auto"/>
          <w:lang w:val="en-GB"/>
        </w:rPr>
        <w:t>i</w:t>
      </w:r>
      <w:r w:rsidRPr="00CC1034">
        <w:rPr>
          <w:color w:val="auto"/>
          <w:lang w:val="el-GR"/>
        </w:rPr>
        <w:t>. Η έννοια της συγκέντρωσης επιχειρήσεων</w:t>
      </w:r>
    </w:p>
    <w:p w14:paraId="3A99495D" w14:textId="780003F5" w:rsidR="004554A1" w:rsidRPr="00CC1034" w:rsidRDefault="004554A1" w:rsidP="004554A1">
      <w:pPr>
        <w:pStyle w:val="Heading5"/>
        <w:ind w:left="1418"/>
        <w:rPr>
          <w:color w:val="auto"/>
          <w:lang w:val="el-GR"/>
        </w:rPr>
      </w:pPr>
      <w:r w:rsidRPr="00CC1034">
        <w:rPr>
          <w:color w:val="auto"/>
          <w:lang w:val="en-GB"/>
        </w:rPr>
        <w:t>ii</w:t>
      </w:r>
      <w:r w:rsidRPr="00CC1034">
        <w:rPr>
          <w:color w:val="auto"/>
          <w:lang w:val="el-GR"/>
        </w:rPr>
        <w:t>. Η ενωσιακή διάσταση της συγκέντρωσης επιχειρήσεων</w:t>
      </w:r>
      <w:r w:rsidR="00B14FD5" w:rsidRPr="00CC1034">
        <w:rPr>
          <w:color w:val="auto"/>
          <w:lang w:val="el-GR"/>
        </w:rPr>
        <w:t xml:space="preserve"> </w:t>
      </w:r>
      <w:r w:rsidRPr="00CC1034">
        <w:rPr>
          <w:color w:val="auto"/>
          <w:lang w:val="el-GR"/>
        </w:rPr>
        <w:t>-</w:t>
      </w:r>
      <w:r w:rsidR="00B14FD5" w:rsidRPr="00CC1034">
        <w:rPr>
          <w:color w:val="auto"/>
          <w:lang w:val="el-GR"/>
        </w:rPr>
        <w:t xml:space="preserve"> </w:t>
      </w:r>
      <w:r w:rsidRPr="00CC1034">
        <w:rPr>
          <w:color w:val="auto"/>
          <w:lang w:val="el-GR"/>
        </w:rPr>
        <w:t>ποσοτικά κριτήρια</w:t>
      </w:r>
    </w:p>
    <w:p w14:paraId="1031D61B" w14:textId="3D02F954" w:rsidR="004554A1" w:rsidRPr="00CC1034" w:rsidRDefault="004554A1" w:rsidP="004554A1">
      <w:pPr>
        <w:pStyle w:val="Heading5"/>
        <w:ind w:left="1418"/>
        <w:rPr>
          <w:color w:val="auto"/>
          <w:lang w:val="el-GR"/>
        </w:rPr>
      </w:pPr>
      <w:r w:rsidRPr="00CC1034">
        <w:rPr>
          <w:color w:val="auto"/>
          <w:lang w:val="en-GB"/>
        </w:rPr>
        <w:t>iii</w:t>
      </w:r>
      <w:r w:rsidRPr="00CC1034">
        <w:rPr>
          <w:color w:val="auto"/>
          <w:lang w:val="el-GR"/>
        </w:rPr>
        <w:t xml:space="preserve">. Η αντιμετώπιση των </w:t>
      </w:r>
      <w:r w:rsidRPr="00CC1034">
        <w:rPr>
          <w:rFonts w:cstheme="majorHAnsi"/>
          <w:color w:val="auto"/>
          <w:lang w:val="el-GR"/>
        </w:rPr>
        <w:t>«</w:t>
      </w:r>
      <w:r w:rsidRPr="00CC1034">
        <w:rPr>
          <w:color w:val="auto"/>
          <w:lang w:val="el-GR"/>
        </w:rPr>
        <w:t>παρεπόμενων περιορισμών</w:t>
      </w:r>
      <w:r w:rsidRPr="00CC1034">
        <w:rPr>
          <w:rFonts w:cstheme="majorHAnsi"/>
          <w:color w:val="auto"/>
          <w:lang w:val="el-GR"/>
        </w:rPr>
        <w:t>»</w:t>
      </w:r>
      <w:r w:rsidRPr="00CC1034">
        <w:rPr>
          <w:color w:val="auto"/>
          <w:lang w:val="el-GR"/>
        </w:rPr>
        <w:t xml:space="preserve">  </w:t>
      </w:r>
    </w:p>
    <w:p w14:paraId="11A31802" w14:textId="17210263" w:rsidR="00033A1C" w:rsidRPr="00CC1034" w:rsidRDefault="00C82F24" w:rsidP="00033A1C">
      <w:pPr>
        <w:pStyle w:val="Heading4"/>
        <w:ind w:left="1418"/>
        <w:rPr>
          <w:color w:val="auto"/>
          <w:lang w:val="el-GR"/>
        </w:rPr>
      </w:pPr>
      <w:r w:rsidRPr="00CC1034">
        <w:rPr>
          <w:color w:val="auto"/>
          <w:lang w:val="el-GR"/>
        </w:rPr>
        <w:t>γ</w:t>
      </w:r>
      <w:r w:rsidR="0078269B" w:rsidRPr="00CC1034">
        <w:rPr>
          <w:color w:val="auto"/>
          <w:lang w:val="el-GR"/>
        </w:rPr>
        <w:t>. Η αξιολόγηση των συγκεντρώσεων</w:t>
      </w:r>
    </w:p>
    <w:p w14:paraId="71518264" w14:textId="7F57E4EC" w:rsidR="003D49D5" w:rsidRPr="00CC1034" w:rsidRDefault="003D49D5" w:rsidP="003D49D5">
      <w:pPr>
        <w:pStyle w:val="Heading5"/>
        <w:ind w:left="1418"/>
        <w:rPr>
          <w:color w:val="auto"/>
          <w:lang w:val="el-GR"/>
        </w:rPr>
      </w:pPr>
      <w:r w:rsidRPr="00CC1034">
        <w:rPr>
          <w:color w:val="auto"/>
          <w:lang w:val="en-GB"/>
        </w:rPr>
        <w:t>i</w:t>
      </w:r>
      <w:r w:rsidRPr="00CC1034">
        <w:rPr>
          <w:color w:val="auto"/>
          <w:lang w:val="el-GR"/>
        </w:rPr>
        <w:t xml:space="preserve">. </w:t>
      </w:r>
      <w:r w:rsidR="00B14FD5" w:rsidRPr="00CC1034">
        <w:rPr>
          <w:color w:val="auto"/>
          <w:lang w:val="el-GR"/>
        </w:rPr>
        <w:t>Η οριοθέτηση των σχετικών αγορών</w:t>
      </w:r>
    </w:p>
    <w:p w14:paraId="5F043328" w14:textId="08E01B28" w:rsidR="003D49D5" w:rsidRPr="00CC1034" w:rsidRDefault="003D49D5" w:rsidP="003D49D5">
      <w:pPr>
        <w:pStyle w:val="Heading5"/>
        <w:ind w:left="1418"/>
        <w:rPr>
          <w:color w:val="auto"/>
          <w:lang w:val="el-GR"/>
        </w:rPr>
      </w:pPr>
      <w:r w:rsidRPr="00CC1034">
        <w:rPr>
          <w:color w:val="auto"/>
          <w:lang w:val="en-GB"/>
        </w:rPr>
        <w:t>ii</w:t>
      </w:r>
      <w:r w:rsidRPr="00CC1034">
        <w:rPr>
          <w:color w:val="auto"/>
          <w:lang w:val="el-GR"/>
        </w:rPr>
        <w:t xml:space="preserve">. </w:t>
      </w:r>
      <w:r w:rsidR="000C4D54" w:rsidRPr="00CC1034">
        <w:rPr>
          <w:color w:val="auto"/>
          <w:lang w:val="el-GR"/>
        </w:rPr>
        <w:t>Το συμβατό με την εσωτερική αγορά</w:t>
      </w:r>
    </w:p>
    <w:p w14:paraId="1E0621A3" w14:textId="38AE3FBA" w:rsidR="000C4D54" w:rsidRPr="00CC1034" w:rsidRDefault="000C4D54" w:rsidP="000C4D54">
      <w:pPr>
        <w:pStyle w:val="Heading6"/>
        <w:ind w:left="2124"/>
        <w:rPr>
          <w:color w:val="auto"/>
          <w:lang w:val="el-GR"/>
        </w:rPr>
      </w:pPr>
      <w:r w:rsidRPr="00CC1034">
        <w:rPr>
          <w:color w:val="auto"/>
          <w:lang w:val="el-GR"/>
        </w:rPr>
        <w:t>1) Η σημαντική παρακώλυση του αποτελεσματικού ανταγωνισμού</w:t>
      </w:r>
    </w:p>
    <w:p w14:paraId="6C452E06" w14:textId="45E23E9C" w:rsidR="000C4D54" w:rsidRPr="00CC1034" w:rsidRDefault="000C4D54" w:rsidP="002656D3">
      <w:pPr>
        <w:pStyle w:val="Heading6"/>
        <w:rPr>
          <w:color w:val="auto"/>
          <w:lang w:val="el-GR"/>
        </w:rPr>
      </w:pPr>
      <w:r w:rsidRPr="00CC1034">
        <w:rPr>
          <w:color w:val="auto"/>
          <w:lang w:val="el-GR"/>
        </w:rPr>
        <w:tab/>
      </w:r>
      <w:r w:rsidRPr="00CC1034">
        <w:rPr>
          <w:color w:val="auto"/>
          <w:lang w:val="el-GR"/>
        </w:rPr>
        <w:tab/>
      </w:r>
      <w:r w:rsidRPr="00CC1034">
        <w:rPr>
          <w:color w:val="auto"/>
          <w:lang w:val="el-GR"/>
        </w:rPr>
        <w:tab/>
        <w:t>2) Τα κριτήρια αξιολόγησης</w:t>
      </w:r>
    </w:p>
    <w:p w14:paraId="286EFD1C" w14:textId="37C6966B" w:rsidR="002656D3" w:rsidRPr="00CC1034" w:rsidRDefault="002656D3" w:rsidP="002656D3">
      <w:pPr>
        <w:pStyle w:val="Heading7"/>
        <w:rPr>
          <w:color w:val="auto"/>
          <w:lang w:val="el-GR"/>
        </w:rPr>
      </w:pPr>
      <w:r w:rsidRPr="00CC1034">
        <w:rPr>
          <w:color w:val="auto"/>
          <w:lang w:val="el-GR"/>
        </w:rPr>
        <w:tab/>
      </w:r>
      <w:r w:rsidRPr="00CC1034">
        <w:rPr>
          <w:color w:val="auto"/>
          <w:lang w:val="el-GR"/>
        </w:rPr>
        <w:tab/>
      </w:r>
      <w:r w:rsidRPr="00CC1034">
        <w:rPr>
          <w:color w:val="auto"/>
          <w:lang w:val="el-GR"/>
        </w:rPr>
        <w:tab/>
      </w:r>
      <w:r w:rsidRPr="00CC1034">
        <w:rPr>
          <w:color w:val="auto"/>
          <w:lang w:val="el-GR"/>
        </w:rPr>
        <w:tab/>
        <w:t>α) Οριζόντιες συγκεντρώσεις</w:t>
      </w:r>
    </w:p>
    <w:p w14:paraId="49245DE4" w14:textId="58855219" w:rsidR="002656D3" w:rsidRPr="00CC1034" w:rsidRDefault="002656D3" w:rsidP="002656D3">
      <w:pPr>
        <w:pStyle w:val="Heading7"/>
        <w:rPr>
          <w:color w:val="auto"/>
          <w:lang w:val="el-GR"/>
        </w:rPr>
      </w:pPr>
      <w:r w:rsidRPr="00CC1034">
        <w:rPr>
          <w:color w:val="auto"/>
          <w:lang w:val="el-GR"/>
        </w:rPr>
        <w:tab/>
      </w:r>
      <w:r w:rsidRPr="00CC1034">
        <w:rPr>
          <w:color w:val="auto"/>
          <w:lang w:val="el-GR"/>
        </w:rPr>
        <w:tab/>
      </w:r>
      <w:r w:rsidRPr="00CC1034">
        <w:rPr>
          <w:color w:val="auto"/>
          <w:lang w:val="el-GR"/>
        </w:rPr>
        <w:tab/>
      </w:r>
      <w:r w:rsidRPr="00CC1034">
        <w:rPr>
          <w:color w:val="auto"/>
          <w:lang w:val="el-GR"/>
        </w:rPr>
        <w:tab/>
        <w:t>β) Μη οριζόντιες συγκεντρώσεις</w:t>
      </w:r>
    </w:p>
    <w:p w14:paraId="187E7B77" w14:textId="77777777" w:rsidR="000C4D54" w:rsidRPr="00CC1034" w:rsidRDefault="000C4D54" w:rsidP="000C4D54">
      <w:pPr>
        <w:rPr>
          <w:lang w:val="el-GR"/>
        </w:rPr>
      </w:pPr>
    </w:p>
    <w:p w14:paraId="0182E852" w14:textId="275F3FC5" w:rsidR="003D49D5" w:rsidRPr="00CC1034" w:rsidRDefault="003D49D5" w:rsidP="003D49D5">
      <w:pPr>
        <w:pStyle w:val="Heading4"/>
        <w:rPr>
          <w:color w:val="auto"/>
          <w:lang w:val="el-GR"/>
        </w:rPr>
      </w:pPr>
      <w:r w:rsidRPr="00CC1034">
        <w:rPr>
          <w:color w:val="auto"/>
          <w:lang w:val="el-GR"/>
        </w:rPr>
        <w:tab/>
      </w:r>
      <w:r w:rsidRPr="00CC1034">
        <w:rPr>
          <w:color w:val="auto"/>
          <w:lang w:val="el-GR"/>
        </w:rPr>
        <w:tab/>
        <w:t>δ. Η διαδικασία ελέγχου των συγκεντρώσεων</w:t>
      </w:r>
    </w:p>
    <w:p w14:paraId="2B351D9F" w14:textId="49BADA1B" w:rsidR="003D49D5" w:rsidRPr="00CC1034" w:rsidRDefault="003D49D5" w:rsidP="003D49D5">
      <w:pPr>
        <w:pStyle w:val="Heading5"/>
        <w:rPr>
          <w:color w:val="auto"/>
          <w:lang w:val="el-GR"/>
        </w:rPr>
      </w:pPr>
      <w:r w:rsidRPr="00CC1034">
        <w:rPr>
          <w:color w:val="auto"/>
          <w:lang w:val="el-GR"/>
        </w:rPr>
        <w:tab/>
      </w:r>
      <w:r w:rsidRPr="00CC1034">
        <w:rPr>
          <w:color w:val="auto"/>
          <w:lang w:val="el-GR"/>
        </w:rPr>
        <w:tab/>
      </w:r>
      <w:r w:rsidRPr="00CC1034">
        <w:rPr>
          <w:color w:val="auto"/>
          <w:lang w:val="en-GB"/>
        </w:rPr>
        <w:t>i</w:t>
      </w:r>
      <w:r w:rsidRPr="00CC1034">
        <w:rPr>
          <w:color w:val="auto"/>
          <w:lang w:val="el-GR"/>
        </w:rPr>
        <w:t>. Η υποχρέωση κοινοποίησης στην Επιτροπή</w:t>
      </w:r>
    </w:p>
    <w:p w14:paraId="2FBE16AF" w14:textId="59F09958" w:rsidR="003D49D5" w:rsidRPr="00CC1034" w:rsidRDefault="003D49D5" w:rsidP="003D49D5">
      <w:pPr>
        <w:pStyle w:val="Heading5"/>
        <w:ind w:left="1418"/>
        <w:rPr>
          <w:color w:val="auto"/>
          <w:lang w:val="el-GR"/>
        </w:rPr>
      </w:pPr>
      <w:r w:rsidRPr="00CC1034">
        <w:rPr>
          <w:color w:val="auto"/>
          <w:lang w:val="en-GB"/>
        </w:rPr>
        <w:t>ii</w:t>
      </w:r>
      <w:r w:rsidRPr="00CC1034">
        <w:rPr>
          <w:color w:val="auto"/>
          <w:lang w:val="el-GR"/>
        </w:rPr>
        <w:t>. Οι φάσεις της διαδικασίας ελέγχου</w:t>
      </w:r>
    </w:p>
    <w:p w14:paraId="2A78FAB6" w14:textId="425100E8" w:rsidR="003D49D5" w:rsidRPr="00CC1034" w:rsidRDefault="003D49D5" w:rsidP="003D49D5">
      <w:pPr>
        <w:pStyle w:val="Heading5"/>
        <w:ind w:left="1418"/>
        <w:rPr>
          <w:color w:val="auto"/>
          <w:lang w:val="el-GR"/>
        </w:rPr>
      </w:pPr>
      <w:r w:rsidRPr="00CC1034">
        <w:rPr>
          <w:color w:val="auto"/>
          <w:lang w:val="en-GB"/>
        </w:rPr>
        <w:t>iii</w:t>
      </w:r>
      <w:r w:rsidRPr="00CC1034">
        <w:rPr>
          <w:color w:val="auto"/>
          <w:lang w:val="el-GR"/>
        </w:rPr>
        <w:t xml:space="preserve">. Η </w:t>
      </w:r>
      <w:r w:rsidR="00B14FD5" w:rsidRPr="00CC1034">
        <w:rPr>
          <w:color w:val="auto"/>
          <w:lang w:val="el-GR"/>
        </w:rPr>
        <w:t>δυνατότητα επιβολής διορθωτικών μέτρων</w:t>
      </w:r>
    </w:p>
    <w:p w14:paraId="412F1F45" w14:textId="77777777" w:rsidR="003D49D5" w:rsidRPr="00CC1034" w:rsidRDefault="003D49D5" w:rsidP="003D49D5">
      <w:pPr>
        <w:rPr>
          <w:lang w:val="el-GR"/>
        </w:rPr>
      </w:pPr>
    </w:p>
    <w:p w14:paraId="752BD426" w14:textId="1F83C908" w:rsidR="003A1D63" w:rsidRPr="00CC1034" w:rsidRDefault="00033A1C" w:rsidP="003A1D63">
      <w:pPr>
        <w:pStyle w:val="Heading3"/>
        <w:ind w:firstLine="708"/>
        <w:rPr>
          <w:color w:val="auto"/>
          <w:lang w:val="el-GR"/>
        </w:rPr>
      </w:pPr>
      <w:r w:rsidRPr="00CC1034">
        <w:rPr>
          <w:color w:val="auto"/>
          <w:lang w:val="el-GR"/>
        </w:rPr>
        <w:t>4</w:t>
      </w:r>
      <w:r w:rsidR="003A1D63" w:rsidRPr="00CC1034">
        <w:rPr>
          <w:color w:val="auto"/>
          <w:lang w:val="el-GR"/>
        </w:rPr>
        <w:t xml:space="preserve">. </w:t>
      </w:r>
      <w:r w:rsidR="002375AE" w:rsidRPr="00CC1034">
        <w:rPr>
          <w:color w:val="auto"/>
          <w:lang w:val="el-GR"/>
        </w:rPr>
        <w:t>Η</w:t>
      </w:r>
      <w:r w:rsidR="00EA2A3A" w:rsidRPr="00CC1034">
        <w:rPr>
          <w:color w:val="auto"/>
          <w:lang w:val="el-GR"/>
        </w:rPr>
        <w:t xml:space="preserve"> </w:t>
      </w:r>
      <w:r w:rsidR="002375AE" w:rsidRPr="00CC1034">
        <w:rPr>
          <w:color w:val="auto"/>
          <w:lang w:val="el-GR"/>
        </w:rPr>
        <w:t>τ</w:t>
      </w:r>
      <w:r w:rsidR="00EA2A3A" w:rsidRPr="00CC1034">
        <w:rPr>
          <w:color w:val="auto"/>
          <w:lang w:val="el-GR"/>
        </w:rPr>
        <w:t>ομεακ</w:t>
      </w:r>
      <w:r w:rsidR="002375AE" w:rsidRPr="00CC1034">
        <w:rPr>
          <w:color w:val="auto"/>
          <w:lang w:val="el-GR"/>
        </w:rPr>
        <w:t>ή</w:t>
      </w:r>
      <w:r w:rsidR="00EA2A3A" w:rsidRPr="00CC1034">
        <w:rPr>
          <w:color w:val="auto"/>
          <w:lang w:val="el-GR"/>
        </w:rPr>
        <w:t xml:space="preserve"> ρυθμιστικ</w:t>
      </w:r>
      <w:r w:rsidR="002375AE" w:rsidRPr="00CC1034">
        <w:rPr>
          <w:color w:val="auto"/>
          <w:lang w:val="el-GR"/>
        </w:rPr>
        <w:t>ή</w:t>
      </w:r>
      <w:r w:rsidR="00EA2A3A" w:rsidRPr="00CC1034">
        <w:rPr>
          <w:color w:val="auto"/>
          <w:lang w:val="el-GR"/>
        </w:rPr>
        <w:t xml:space="preserve"> </w:t>
      </w:r>
      <w:r w:rsidR="002375AE" w:rsidRPr="00CC1034">
        <w:rPr>
          <w:color w:val="auto"/>
          <w:lang w:val="el-GR"/>
        </w:rPr>
        <w:t xml:space="preserve">νομοθεσία </w:t>
      </w:r>
    </w:p>
    <w:p w14:paraId="15735A16" w14:textId="522C08FA" w:rsidR="00003C0A" w:rsidRPr="00CC1034" w:rsidRDefault="00003C0A" w:rsidP="00003C0A">
      <w:pPr>
        <w:pStyle w:val="Heading4"/>
        <w:ind w:left="1418"/>
        <w:rPr>
          <w:color w:val="auto"/>
          <w:lang w:val="el-GR"/>
        </w:rPr>
      </w:pPr>
      <w:r w:rsidRPr="00CC1034">
        <w:rPr>
          <w:color w:val="auto"/>
          <w:lang w:val="el-GR"/>
        </w:rPr>
        <w:t xml:space="preserve">α. </w:t>
      </w:r>
      <w:r w:rsidR="002375AE" w:rsidRPr="00CC1034">
        <w:rPr>
          <w:color w:val="auto"/>
          <w:lang w:val="el-GR"/>
        </w:rPr>
        <w:t>Το νομικό</w:t>
      </w:r>
      <w:r w:rsidR="00CC5AE7" w:rsidRPr="00CC1034">
        <w:rPr>
          <w:color w:val="auto"/>
          <w:lang w:val="el-GR"/>
        </w:rPr>
        <w:t xml:space="preserve"> </w:t>
      </w:r>
      <w:r w:rsidR="002375AE" w:rsidRPr="00CC1034">
        <w:rPr>
          <w:color w:val="auto"/>
          <w:lang w:val="el-GR"/>
        </w:rPr>
        <w:t>πλαίσιο</w:t>
      </w:r>
      <w:r w:rsidR="00CC5AE7" w:rsidRPr="00CC1034">
        <w:rPr>
          <w:color w:val="auto"/>
          <w:lang w:val="el-GR"/>
        </w:rPr>
        <w:t xml:space="preserve"> απελευθέρωσης </w:t>
      </w:r>
      <w:r w:rsidR="002375AE" w:rsidRPr="00CC1034">
        <w:rPr>
          <w:color w:val="auto"/>
          <w:lang w:val="el-GR"/>
        </w:rPr>
        <w:t xml:space="preserve">και εποπτείας </w:t>
      </w:r>
      <w:r w:rsidR="00CC5AE7" w:rsidRPr="00CC1034">
        <w:rPr>
          <w:color w:val="auto"/>
          <w:lang w:val="el-GR"/>
        </w:rPr>
        <w:t>των αγορών δικτύων</w:t>
      </w:r>
    </w:p>
    <w:p w14:paraId="0553B811" w14:textId="7039B52B" w:rsidR="00003C0A" w:rsidRPr="00CC1034" w:rsidRDefault="00003C0A" w:rsidP="00003C0A">
      <w:pPr>
        <w:pStyle w:val="Heading4"/>
        <w:ind w:left="1418"/>
        <w:rPr>
          <w:color w:val="auto"/>
          <w:lang w:val="el-GR"/>
        </w:rPr>
      </w:pPr>
      <w:r w:rsidRPr="00CC1034">
        <w:rPr>
          <w:color w:val="auto"/>
          <w:lang w:val="el-GR"/>
        </w:rPr>
        <w:t xml:space="preserve">β. </w:t>
      </w:r>
      <w:r w:rsidR="002375AE" w:rsidRPr="00CC1034">
        <w:rPr>
          <w:color w:val="auto"/>
          <w:lang w:val="el-GR"/>
        </w:rPr>
        <w:t xml:space="preserve">Το ειδικό ρυθμιστικό πλαίσιο για τις ηλεκτρονικές επικοινωνίες </w:t>
      </w:r>
    </w:p>
    <w:p w14:paraId="77C91A62" w14:textId="18C75363" w:rsidR="00003C0A" w:rsidRPr="00CC1034" w:rsidRDefault="00003C0A" w:rsidP="00003C0A">
      <w:pPr>
        <w:pStyle w:val="Heading5"/>
        <w:ind w:left="1418"/>
        <w:rPr>
          <w:color w:val="auto"/>
          <w:lang w:val="el-GR"/>
        </w:rPr>
      </w:pPr>
      <w:r w:rsidRPr="00CC1034">
        <w:rPr>
          <w:color w:val="auto"/>
          <w:lang w:val="en-GB"/>
        </w:rPr>
        <w:t>i</w:t>
      </w:r>
      <w:r w:rsidRPr="00CC1034">
        <w:rPr>
          <w:color w:val="auto"/>
          <w:lang w:val="el-GR"/>
        </w:rPr>
        <w:t xml:space="preserve">. </w:t>
      </w:r>
      <w:r w:rsidR="002375AE" w:rsidRPr="00CC1034">
        <w:rPr>
          <w:color w:val="auto"/>
          <w:lang w:val="el-GR"/>
        </w:rPr>
        <w:t xml:space="preserve">Οι αρμοδιότητες των εθνικών ρυθμιστικών αρχών </w:t>
      </w:r>
    </w:p>
    <w:p w14:paraId="5E57E716" w14:textId="7DA546E5" w:rsidR="00003C0A" w:rsidRPr="00CC1034" w:rsidRDefault="002375AE" w:rsidP="002375AE">
      <w:pPr>
        <w:pStyle w:val="Heading5"/>
        <w:ind w:left="1410"/>
        <w:rPr>
          <w:color w:val="auto"/>
          <w:lang w:val="el-GR"/>
        </w:rPr>
      </w:pPr>
      <w:r w:rsidRPr="00CC1034">
        <w:rPr>
          <w:color w:val="auto"/>
          <w:lang w:val="fr-BE"/>
        </w:rPr>
        <w:t>ii</w:t>
      </w:r>
      <w:r w:rsidRPr="00CC1034">
        <w:rPr>
          <w:color w:val="auto"/>
          <w:lang w:val="el-GR"/>
        </w:rPr>
        <w:t xml:space="preserve">. </w:t>
      </w:r>
      <w:r w:rsidRPr="00CC1034">
        <w:rPr>
          <w:color w:val="auto"/>
          <w:lang w:val="fr-BE"/>
        </w:rPr>
        <w:t>H</w:t>
      </w:r>
      <w:r w:rsidRPr="00CC1034">
        <w:rPr>
          <w:color w:val="auto"/>
          <w:lang w:val="el-GR"/>
        </w:rPr>
        <w:t xml:space="preserve"> διαδικασία του άρθρου 7 της Οδηγίας 2002/21: Η κοινοποίηση των ρυθμιστικών μέτρων στην Επιτροπή</w:t>
      </w:r>
    </w:p>
    <w:p w14:paraId="123B26E8" w14:textId="249293CA" w:rsidR="002375AE" w:rsidRPr="00CC1034" w:rsidRDefault="002375AE" w:rsidP="002375AE">
      <w:pPr>
        <w:pStyle w:val="Heading5"/>
        <w:ind w:left="1410"/>
        <w:jc w:val="both"/>
        <w:rPr>
          <w:color w:val="auto"/>
          <w:lang w:val="el-GR"/>
        </w:rPr>
      </w:pPr>
      <w:r w:rsidRPr="00CC1034">
        <w:rPr>
          <w:color w:val="auto"/>
          <w:lang w:val="fr-BE"/>
        </w:rPr>
        <w:t>iii</w:t>
      </w:r>
      <w:r w:rsidRPr="00CC1034">
        <w:rPr>
          <w:color w:val="auto"/>
          <w:lang w:val="el-GR"/>
        </w:rPr>
        <w:t xml:space="preserve">. </w:t>
      </w:r>
      <w:r w:rsidRPr="00CC1034">
        <w:rPr>
          <w:color w:val="auto"/>
          <w:lang w:val="fr-BE"/>
        </w:rPr>
        <w:t>H</w:t>
      </w:r>
      <w:r w:rsidRPr="00CC1034">
        <w:rPr>
          <w:color w:val="auto"/>
          <w:lang w:val="el-GR"/>
        </w:rPr>
        <w:t xml:space="preserve"> σχέση των ενωσιακών κανόνων περί ανταγωνισμού και της ειδικής ρυθμιστικής νομοθεσίας</w:t>
      </w:r>
    </w:p>
    <w:p w14:paraId="43B5A6A9" w14:textId="77777777" w:rsidR="002375AE" w:rsidRPr="00CC1034" w:rsidRDefault="002375AE" w:rsidP="00C30E59">
      <w:pPr>
        <w:pStyle w:val="Heading2"/>
        <w:rPr>
          <w:color w:val="auto"/>
          <w:lang w:val="el-GR"/>
        </w:rPr>
      </w:pPr>
    </w:p>
    <w:p w14:paraId="12DA1FDB" w14:textId="30762F83" w:rsidR="00C30E59" w:rsidRPr="00CC1034" w:rsidRDefault="003A1D63" w:rsidP="00C30E59">
      <w:pPr>
        <w:pStyle w:val="Heading2"/>
        <w:rPr>
          <w:color w:val="auto"/>
          <w:lang w:val="el-GR"/>
        </w:rPr>
      </w:pPr>
      <w:r w:rsidRPr="00CC1034">
        <w:rPr>
          <w:color w:val="auto"/>
          <w:lang w:val="el-GR"/>
        </w:rPr>
        <w:t>Γ</w:t>
      </w:r>
      <w:r w:rsidR="00C30E59" w:rsidRPr="00CC1034">
        <w:rPr>
          <w:color w:val="auto"/>
          <w:lang w:val="el-GR"/>
        </w:rPr>
        <w:t>. Κράτος και ανταγωνισμός</w:t>
      </w:r>
    </w:p>
    <w:p w14:paraId="49E15700" w14:textId="0F10F505" w:rsidR="00C30E59" w:rsidRPr="00CC1034" w:rsidRDefault="00C30E59" w:rsidP="009F0436">
      <w:pPr>
        <w:pStyle w:val="Heading3"/>
        <w:ind w:firstLine="708"/>
        <w:rPr>
          <w:color w:val="auto"/>
          <w:lang w:val="el-GR"/>
        </w:rPr>
      </w:pPr>
      <w:r w:rsidRPr="00CC1034">
        <w:rPr>
          <w:color w:val="auto"/>
          <w:lang w:val="el-GR"/>
        </w:rPr>
        <w:t>1. Δημόσιες</w:t>
      </w:r>
      <w:r w:rsidR="00940281" w:rsidRPr="00CC1034">
        <w:rPr>
          <w:color w:val="auto"/>
          <w:lang w:val="el-GR"/>
        </w:rPr>
        <w:t xml:space="preserve"> επιχειρήσεις</w:t>
      </w:r>
      <w:r w:rsidRPr="00CC1034">
        <w:rPr>
          <w:color w:val="auto"/>
          <w:lang w:val="el-GR"/>
        </w:rPr>
        <w:t xml:space="preserve"> </w:t>
      </w:r>
      <w:r w:rsidR="003A1D63" w:rsidRPr="00CC1034">
        <w:rPr>
          <w:color w:val="auto"/>
          <w:lang w:val="el-GR"/>
        </w:rPr>
        <w:t xml:space="preserve">και </w:t>
      </w:r>
      <w:r w:rsidRPr="00CC1034">
        <w:rPr>
          <w:color w:val="auto"/>
          <w:lang w:val="el-GR"/>
        </w:rPr>
        <w:t>επιχειρήσεις</w:t>
      </w:r>
      <w:r w:rsidR="00940281" w:rsidRPr="00CC1034">
        <w:rPr>
          <w:color w:val="auto"/>
          <w:lang w:val="el-GR"/>
        </w:rPr>
        <w:t xml:space="preserve"> επιφορτισμένες με τη διαχείριση υπηρεσιών γενικού συμφέροντος </w:t>
      </w:r>
    </w:p>
    <w:p w14:paraId="20D0D4FA" w14:textId="6431919E" w:rsidR="00940281" w:rsidRPr="00CC1034" w:rsidRDefault="00C03AA6" w:rsidP="009278CB">
      <w:pPr>
        <w:pStyle w:val="Heading4"/>
        <w:ind w:left="1416"/>
        <w:rPr>
          <w:color w:val="auto"/>
          <w:lang w:val="el-GR"/>
        </w:rPr>
      </w:pPr>
      <w:r w:rsidRPr="00CC1034">
        <w:rPr>
          <w:color w:val="auto"/>
          <w:lang w:val="el-GR"/>
        </w:rPr>
        <w:t>α.</w:t>
      </w:r>
      <w:r w:rsidR="00940281" w:rsidRPr="00CC1034">
        <w:rPr>
          <w:color w:val="auto"/>
          <w:lang w:val="el-GR"/>
        </w:rPr>
        <w:t xml:space="preserve"> </w:t>
      </w:r>
      <w:r w:rsidR="009278CB" w:rsidRPr="00CC1034">
        <w:rPr>
          <w:color w:val="auto"/>
          <w:lang w:val="el-GR"/>
        </w:rPr>
        <w:t>Η κατ’αρχήν υπαγωγή των δημοσίων επιχειρήσεων</w:t>
      </w:r>
      <w:r w:rsidR="00940281" w:rsidRPr="00CC1034">
        <w:rPr>
          <w:color w:val="auto"/>
          <w:lang w:val="el-GR"/>
        </w:rPr>
        <w:t xml:space="preserve"> και</w:t>
      </w:r>
      <w:r w:rsidR="009278CB" w:rsidRPr="00CC1034">
        <w:rPr>
          <w:color w:val="auto"/>
          <w:lang w:val="el-GR"/>
        </w:rPr>
        <w:t xml:space="preserve"> των επιχειρήσεων</w:t>
      </w:r>
      <w:r w:rsidR="00940281" w:rsidRPr="00CC1034">
        <w:rPr>
          <w:color w:val="auto"/>
          <w:lang w:val="el-GR"/>
        </w:rPr>
        <w:t xml:space="preserve"> με αποκλειστικά ή ειδικά προνόμια</w:t>
      </w:r>
      <w:r w:rsidR="009278CB" w:rsidRPr="00CC1034">
        <w:rPr>
          <w:color w:val="auto"/>
          <w:lang w:val="el-GR"/>
        </w:rPr>
        <w:t xml:space="preserve"> στους κανόνες περί ανταγωνισμού</w:t>
      </w:r>
      <w:r w:rsidR="00940281" w:rsidRPr="00CC1034">
        <w:rPr>
          <w:color w:val="auto"/>
          <w:lang w:val="el-GR"/>
        </w:rPr>
        <w:t xml:space="preserve"> (106 παρ. 1 ΣΛΕΕ)</w:t>
      </w:r>
    </w:p>
    <w:p w14:paraId="5A84CCC9" w14:textId="0A1E1505" w:rsidR="00940281" w:rsidRPr="00CC1034" w:rsidRDefault="00940281" w:rsidP="00940281">
      <w:pPr>
        <w:pStyle w:val="Heading5"/>
        <w:ind w:left="1418"/>
        <w:rPr>
          <w:color w:val="auto"/>
          <w:lang w:val="el-GR"/>
        </w:rPr>
      </w:pPr>
      <w:r w:rsidRPr="00CC1034">
        <w:rPr>
          <w:color w:val="auto"/>
          <w:lang w:val="fr-FR"/>
        </w:rPr>
        <w:t>i</w:t>
      </w:r>
      <w:r w:rsidRPr="00CC1034">
        <w:rPr>
          <w:color w:val="auto"/>
          <w:lang w:val="el-GR"/>
        </w:rPr>
        <w:t>.</w:t>
      </w:r>
      <w:r w:rsidR="009F17E7" w:rsidRPr="00CC1034">
        <w:rPr>
          <w:color w:val="auto"/>
          <w:lang w:val="el-GR"/>
        </w:rPr>
        <w:t xml:space="preserve"> </w:t>
      </w:r>
      <w:r w:rsidR="002A7089" w:rsidRPr="00CC1034">
        <w:rPr>
          <w:rFonts w:eastAsia="Times New Roman" w:cs="Times New Roman"/>
          <w:color w:val="auto"/>
          <w:lang w:val="el-GR" w:eastAsia="en-GB"/>
        </w:rPr>
        <w:t>Οι αρχές</w:t>
      </w:r>
      <w:r w:rsidR="009F17E7" w:rsidRPr="00CC1034">
        <w:rPr>
          <w:rFonts w:eastAsia="Times New Roman" w:cs="Times New Roman"/>
          <w:color w:val="auto"/>
          <w:lang w:val="el-GR" w:eastAsia="en-GB"/>
        </w:rPr>
        <w:t xml:space="preserve"> της ουδετερότητας έναντι του καθεστώτος ιδιοκτησίας</w:t>
      </w:r>
      <w:r w:rsidR="002A7089" w:rsidRPr="00CC1034">
        <w:rPr>
          <w:rFonts w:eastAsia="Times New Roman" w:cs="Times New Roman"/>
          <w:color w:val="auto"/>
          <w:lang w:val="el-GR" w:eastAsia="en-GB"/>
        </w:rPr>
        <w:t xml:space="preserve"> και της ίσης μεταχείρισης του δημόσιου και ιδιωτικού τομέα</w:t>
      </w:r>
    </w:p>
    <w:p w14:paraId="40A7FC6E" w14:textId="579894D5" w:rsidR="00C03AA6" w:rsidRPr="00CC1034" w:rsidRDefault="00940281" w:rsidP="002A7089">
      <w:pPr>
        <w:pStyle w:val="Heading5"/>
        <w:ind w:left="1418"/>
        <w:rPr>
          <w:color w:val="auto"/>
          <w:lang w:val="el-GR"/>
        </w:rPr>
      </w:pPr>
      <w:r w:rsidRPr="00CC1034">
        <w:rPr>
          <w:color w:val="auto"/>
          <w:lang w:val="fr-FR"/>
        </w:rPr>
        <w:t>ii</w:t>
      </w:r>
      <w:r w:rsidRPr="00CC1034">
        <w:rPr>
          <w:color w:val="auto"/>
          <w:lang w:val="el-GR"/>
        </w:rPr>
        <w:t>.</w:t>
      </w:r>
      <w:r w:rsidR="009F17E7" w:rsidRPr="00CC1034">
        <w:rPr>
          <w:color w:val="auto"/>
          <w:lang w:val="el-GR"/>
        </w:rPr>
        <w:t xml:space="preserve"> </w:t>
      </w:r>
      <w:r w:rsidR="009F17E7" w:rsidRPr="00CC1034">
        <w:rPr>
          <w:rFonts w:eastAsia="Times New Roman" w:cs="Times New Roman"/>
          <w:color w:val="auto"/>
          <w:lang w:val="el-GR" w:eastAsia="en-GB"/>
        </w:rPr>
        <w:t xml:space="preserve">Η αρχή της </w:t>
      </w:r>
      <w:r w:rsidR="00B85124" w:rsidRPr="00CC1034">
        <w:rPr>
          <w:color w:val="auto"/>
          <w:lang w:val="el-GR"/>
        </w:rPr>
        <w:t>απαγόρευση</w:t>
      </w:r>
      <w:r w:rsidR="00D040F6" w:rsidRPr="00CC1034">
        <w:rPr>
          <w:color w:val="auto"/>
          <w:lang w:val="el-GR"/>
        </w:rPr>
        <w:t>ς</w:t>
      </w:r>
      <w:r w:rsidR="00B85124" w:rsidRPr="00CC1034">
        <w:rPr>
          <w:color w:val="auto"/>
          <w:lang w:val="el-GR"/>
        </w:rPr>
        <w:t xml:space="preserve"> μέτρων που νοθεύουν τον ανταγωνισμό</w:t>
      </w:r>
    </w:p>
    <w:p w14:paraId="3A5708E7" w14:textId="66C2DE5A" w:rsidR="00B85124" w:rsidRPr="00CC1034" w:rsidRDefault="00C03AA6" w:rsidP="009278CB">
      <w:pPr>
        <w:pStyle w:val="Heading4"/>
        <w:ind w:left="1416"/>
        <w:rPr>
          <w:color w:val="auto"/>
          <w:lang w:val="el-GR"/>
        </w:rPr>
      </w:pPr>
      <w:r w:rsidRPr="00CC1034">
        <w:rPr>
          <w:color w:val="auto"/>
          <w:lang w:val="el-GR"/>
        </w:rPr>
        <w:t>β.</w:t>
      </w:r>
      <w:r w:rsidR="009F17E7" w:rsidRPr="00CC1034">
        <w:rPr>
          <w:color w:val="auto"/>
          <w:lang w:val="el-GR"/>
        </w:rPr>
        <w:t xml:space="preserve"> </w:t>
      </w:r>
      <w:r w:rsidR="009278CB" w:rsidRPr="00CC1034">
        <w:rPr>
          <w:color w:val="auto"/>
          <w:lang w:val="el-GR"/>
        </w:rPr>
        <w:t xml:space="preserve">H δυνατότητα εξαίρεσης: </w:t>
      </w:r>
      <w:r w:rsidR="00B85124" w:rsidRPr="00CC1034">
        <w:rPr>
          <w:color w:val="auto"/>
          <w:lang w:val="el-GR"/>
        </w:rPr>
        <w:t>Το ειδικό καθεστώς των επιχειρήσεων του άρθρου 106 παρ. 2 ΣΛΕΕ</w:t>
      </w:r>
    </w:p>
    <w:p w14:paraId="4AA78E60" w14:textId="77777777" w:rsidR="00B85124" w:rsidRPr="00CC1034" w:rsidRDefault="00B85124" w:rsidP="00B85124">
      <w:pPr>
        <w:pStyle w:val="Heading5"/>
        <w:ind w:left="708" w:firstLine="708"/>
        <w:rPr>
          <w:color w:val="auto"/>
          <w:lang w:val="el-GR"/>
        </w:rPr>
      </w:pPr>
      <w:r w:rsidRPr="00CC1034">
        <w:rPr>
          <w:color w:val="auto"/>
          <w:lang w:val="fr-FR"/>
        </w:rPr>
        <w:t>i</w:t>
      </w:r>
      <w:r w:rsidRPr="00CC1034">
        <w:rPr>
          <w:color w:val="auto"/>
          <w:lang w:val="el-GR"/>
        </w:rPr>
        <w:t>. Επιχειρήσεις που υπάγονται στο άρθρο 106 παρ. 2 ΣΛΕΕ</w:t>
      </w:r>
    </w:p>
    <w:p w14:paraId="63A825C3" w14:textId="6434E443" w:rsidR="00B85124" w:rsidRPr="00CC1034" w:rsidRDefault="00B85124" w:rsidP="00B85124">
      <w:pPr>
        <w:pStyle w:val="Heading6"/>
        <w:ind w:left="2124"/>
        <w:rPr>
          <w:color w:val="auto"/>
          <w:lang w:val="el-GR"/>
        </w:rPr>
      </w:pPr>
      <w:r w:rsidRPr="00CC1034">
        <w:rPr>
          <w:color w:val="auto"/>
          <w:lang w:val="el-GR"/>
        </w:rPr>
        <w:t>1) Επιχειρήσεις επιφορτισμένες με τη διαχείριση υπηρεσιών γενικού</w:t>
      </w:r>
      <w:r w:rsidR="00AB56D1" w:rsidRPr="00CC1034">
        <w:rPr>
          <w:color w:val="auto"/>
          <w:lang w:val="el-GR"/>
        </w:rPr>
        <w:t xml:space="preserve"> οικονομικού</w:t>
      </w:r>
      <w:r w:rsidRPr="00CC1034">
        <w:rPr>
          <w:color w:val="auto"/>
          <w:lang w:val="el-GR"/>
        </w:rPr>
        <w:t xml:space="preserve"> συμφέροντος</w:t>
      </w:r>
    </w:p>
    <w:p w14:paraId="0601EF61" w14:textId="061D5C86" w:rsidR="009F17E7" w:rsidRPr="00CC1034" w:rsidRDefault="00B85124" w:rsidP="00B85124">
      <w:pPr>
        <w:pStyle w:val="Heading6"/>
        <w:rPr>
          <w:color w:val="auto"/>
          <w:lang w:val="el-GR"/>
        </w:rPr>
      </w:pPr>
      <w:r w:rsidRPr="00CC1034">
        <w:rPr>
          <w:color w:val="auto"/>
          <w:lang w:val="el-GR"/>
        </w:rPr>
        <w:tab/>
      </w:r>
      <w:r w:rsidRPr="00CC1034">
        <w:rPr>
          <w:color w:val="auto"/>
          <w:lang w:val="el-GR"/>
        </w:rPr>
        <w:tab/>
      </w:r>
      <w:r w:rsidRPr="00CC1034">
        <w:rPr>
          <w:color w:val="auto"/>
          <w:lang w:val="el-GR"/>
        </w:rPr>
        <w:tab/>
        <w:t>2) Τα φορολογικά μονοπώλια</w:t>
      </w:r>
    </w:p>
    <w:p w14:paraId="13491E1A" w14:textId="5C32E2A1" w:rsidR="009F17E7" w:rsidRPr="00CC1034" w:rsidRDefault="009F17E7" w:rsidP="009F17E7">
      <w:pPr>
        <w:pStyle w:val="Heading5"/>
        <w:ind w:left="1418"/>
        <w:rPr>
          <w:color w:val="auto"/>
          <w:lang w:val="el-GR"/>
        </w:rPr>
      </w:pPr>
      <w:r w:rsidRPr="00CC1034">
        <w:rPr>
          <w:color w:val="auto"/>
          <w:lang w:val="fr-FR"/>
        </w:rPr>
        <w:t>ii</w:t>
      </w:r>
      <w:r w:rsidRPr="00CC1034">
        <w:rPr>
          <w:color w:val="auto"/>
          <w:lang w:val="el-GR"/>
        </w:rPr>
        <w:t>.</w:t>
      </w:r>
      <w:r w:rsidR="00B85124" w:rsidRPr="00CC1034">
        <w:rPr>
          <w:color w:val="auto"/>
          <w:lang w:val="el-GR"/>
        </w:rPr>
        <w:t xml:space="preserve"> Καθεστώς των επιχειρήσεων του άρθρου 106 παρ. 2 ΣΛΕΕ</w:t>
      </w:r>
    </w:p>
    <w:p w14:paraId="77149852" w14:textId="02EAFC26" w:rsidR="009F17E7" w:rsidRPr="00CC1034" w:rsidRDefault="009F17E7" w:rsidP="00B85124">
      <w:pPr>
        <w:pStyle w:val="Heading6"/>
        <w:rPr>
          <w:color w:val="auto"/>
          <w:lang w:val="el-GR"/>
        </w:rPr>
      </w:pPr>
      <w:r w:rsidRPr="00CC1034">
        <w:rPr>
          <w:color w:val="auto"/>
          <w:lang w:val="el-GR"/>
        </w:rPr>
        <w:t xml:space="preserve"> </w:t>
      </w:r>
      <w:r w:rsidR="00B85124" w:rsidRPr="00CC1034">
        <w:rPr>
          <w:color w:val="auto"/>
          <w:lang w:val="el-GR"/>
        </w:rPr>
        <w:tab/>
      </w:r>
      <w:r w:rsidR="00B85124" w:rsidRPr="00CC1034">
        <w:rPr>
          <w:color w:val="auto"/>
          <w:lang w:val="el-GR"/>
        </w:rPr>
        <w:tab/>
      </w:r>
      <w:r w:rsidR="00B85124" w:rsidRPr="00CC1034">
        <w:rPr>
          <w:color w:val="auto"/>
          <w:lang w:val="el-GR"/>
        </w:rPr>
        <w:tab/>
        <w:t xml:space="preserve">1) </w:t>
      </w:r>
      <w:r w:rsidR="00AB56D1" w:rsidRPr="00CC1034">
        <w:rPr>
          <w:color w:val="auto"/>
          <w:lang w:val="el-GR"/>
        </w:rPr>
        <w:t>Η ανάθεση αποστολής γενικού οικονομικού συμφέροντος</w:t>
      </w:r>
    </w:p>
    <w:p w14:paraId="272D1108" w14:textId="02EC2C97" w:rsidR="00B85124" w:rsidRPr="00CC1034" w:rsidRDefault="00B85124" w:rsidP="00B85124">
      <w:pPr>
        <w:pStyle w:val="Heading6"/>
        <w:ind w:left="1416" w:firstLine="708"/>
        <w:rPr>
          <w:color w:val="auto"/>
          <w:lang w:val="el-GR"/>
        </w:rPr>
      </w:pPr>
      <w:r w:rsidRPr="00CC1034">
        <w:rPr>
          <w:color w:val="auto"/>
          <w:lang w:val="el-GR"/>
        </w:rPr>
        <w:t>2)</w:t>
      </w:r>
      <w:r w:rsidR="00AB56D1" w:rsidRPr="00CC1034">
        <w:rPr>
          <w:color w:val="auto"/>
          <w:lang w:val="el-GR"/>
        </w:rPr>
        <w:t xml:space="preserve"> Η αδυναμία εκπλήρωσης της αποστολής</w:t>
      </w:r>
    </w:p>
    <w:p w14:paraId="3C9338A3" w14:textId="77777777" w:rsidR="002656D3" w:rsidRPr="00CC1034" w:rsidRDefault="002656D3" w:rsidP="009F0436">
      <w:pPr>
        <w:pStyle w:val="Heading3"/>
        <w:ind w:firstLine="708"/>
        <w:rPr>
          <w:color w:val="auto"/>
          <w:lang w:val="el-GR"/>
        </w:rPr>
      </w:pPr>
    </w:p>
    <w:p w14:paraId="1E4369D0" w14:textId="138F02B1" w:rsidR="00C30E59" w:rsidRPr="00CC1034" w:rsidRDefault="00C30E59" w:rsidP="002656D3">
      <w:pPr>
        <w:pStyle w:val="Heading3"/>
        <w:spacing w:before="0"/>
        <w:ind w:firstLine="709"/>
        <w:rPr>
          <w:color w:val="auto"/>
          <w:lang w:val="el-GR"/>
        </w:rPr>
      </w:pPr>
      <w:r w:rsidRPr="00CC1034">
        <w:rPr>
          <w:color w:val="auto"/>
          <w:lang w:val="el-GR"/>
        </w:rPr>
        <w:t>2. Κρατικές ενισχύσεις</w:t>
      </w:r>
    </w:p>
    <w:p w14:paraId="2F1CBB77" w14:textId="0D21C2C2" w:rsidR="00DE71EF" w:rsidRPr="00CC1034" w:rsidRDefault="009F0436" w:rsidP="00386C89">
      <w:pPr>
        <w:pStyle w:val="Heading4"/>
        <w:ind w:left="1410"/>
        <w:rPr>
          <w:color w:val="auto"/>
          <w:lang w:val="el-GR"/>
        </w:rPr>
      </w:pPr>
      <w:r w:rsidRPr="00CC1034">
        <w:rPr>
          <w:color w:val="auto"/>
          <w:lang w:val="el-GR"/>
        </w:rPr>
        <w:t xml:space="preserve">α. </w:t>
      </w:r>
      <w:r w:rsidR="00DE71EF" w:rsidRPr="00CC1034">
        <w:rPr>
          <w:color w:val="auto"/>
          <w:lang w:val="el-GR"/>
        </w:rPr>
        <w:t xml:space="preserve">Εισαγωγικά </w:t>
      </w:r>
      <w:r w:rsidR="00386C89" w:rsidRPr="00CC1034">
        <w:rPr>
          <w:color w:val="auto"/>
          <w:lang w:val="el-GR"/>
        </w:rPr>
        <w:t>–</w:t>
      </w:r>
      <w:r w:rsidR="00DE71EF" w:rsidRPr="00CC1034">
        <w:rPr>
          <w:color w:val="auto"/>
          <w:lang w:val="el-GR"/>
        </w:rPr>
        <w:t xml:space="preserve"> </w:t>
      </w:r>
      <w:r w:rsidR="00386C89" w:rsidRPr="00CC1034">
        <w:rPr>
          <w:color w:val="auto"/>
          <w:lang w:val="el-GR"/>
        </w:rPr>
        <w:t>οι λ</w:t>
      </w:r>
      <w:r w:rsidR="00DE71EF" w:rsidRPr="00CC1034">
        <w:rPr>
          <w:color w:val="auto"/>
          <w:lang w:val="el-GR"/>
        </w:rPr>
        <w:t xml:space="preserve">όγοι </w:t>
      </w:r>
      <w:r w:rsidR="00386C89" w:rsidRPr="00CC1034">
        <w:rPr>
          <w:color w:val="auto"/>
          <w:lang w:val="el-GR"/>
        </w:rPr>
        <w:t>της καταρχήν απαγόρευσης χορήγησης</w:t>
      </w:r>
      <w:r w:rsidR="00DE71EF" w:rsidRPr="00CC1034">
        <w:rPr>
          <w:color w:val="auto"/>
          <w:lang w:val="el-GR"/>
        </w:rPr>
        <w:t xml:space="preserve"> </w:t>
      </w:r>
      <w:r w:rsidR="00386C89" w:rsidRPr="00CC1034">
        <w:rPr>
          <w:color w:val="auto"/>
          <w:lang w:val="el-GR"/>
        </w:rPr>
        <w:t>κρατικών ενισχύσεων</w:t>
      </w:r>
      <w:r w:rsidR="003A1D63" w:rsidRPr="00CC1034">
        <w:rPr>
          <w:color w:val="auto"/>
          <w:lang w:val="el-GR"/>
        </w:rPr>
        <w:t xml:space="preserve"> (άρθρο 107 παρ. 1 ΣΛΕΕ)</w:t>
      </w:r>
    </w:p>
    <w:p w14:paraId="67B0D977" w14:textId="5F45B2E4" w:rsidR="009F0436" w:rsidRPr="00CC1034" w:rsidRDefault="00DE71EF" w:rsidP="00386C89">
      <w:pPr>
        <w:pStyle w:val="Heading4"/>
        <w:ind w:left="708" w:firstLine="708"/>
        <w:rPr>
          <w:color w:val="auto"/>
          <w:lang w:val="el-GR"/>
        </w:rPr>
      </w:pPr>
      <w:r w:rsidRPr="00CC1034">
        <w:rPr>
          <w:color w:val="auto"/>
          <w:lang w:val="el-GR"/>
        </w:rPr>
        <w:t>β. Εννοιολογικά στοιχεία</w:t>
      </w:r>
      <w:r w:rsidR="009F0436" w:rsidRPr="00CC1034">
        <w:rPr>
          <w:color w:val="auto"/>
          <w:lang w:val="el-GR"/>
        </w:rPr>
        <w:t xml:space="preserve"> της κρατικής </w:t>
      </w:r>
      <w:r w:rsidR="0056486F" w:rsidRPr="00CC1034">
        <w:rPr>
          <w:color w:val="auto"/>
          <w:lang w:val="el-GR"/>
        </w:rPr>
        <w:t>ενίσχυσης</w:t>
      </w:r>
    </w:p>
    <w:p w14:paraId="69E00443" w14:textId="287EA907" w:rsidR="00DE71EF" w:rsidRPr="00CC1034" w:rsidRDefault="00DE71EF" w:rsidP="00DE71EF">
      <w:pPr>
        <w:pStyle w:val="Heading5"/>
        <w:rPr>
          <w:color w:val="auto"/>
          <w:lang w:val="el-GR"/>
        </w:rPr>
      </w:pPr>
      <w:r w:rsidRPr="00CC1034">
        <w:rPr>
          <w:color w:val="auto"/>
          <w:lang w:val="el-GR"/>
        </w:rPr>
        <w:tab/>
      </w:r>
      <w:r w:rsidR="00386C89" w:rsidRPr="00CC1034">
        <w:rPr>
          <w:color w:val="auto"/>
          <w:lang w:val="el-GR"/>
        </w:rPr>
        <w:tab/>
      </w:r>
      <w:r w:rsidRPr="00CC1034">
        <w:rPr>
          <w:color w:val="auto"/>
          <w:lang w:val="en-GB"/>
        </w:rPr>
        <w:t>i</w:t>
      </w:r>
      <w:r w:rsidRPr="00CC1034">
        <w:rPr>
          <w:color w:val="auto"/>
          <w:lang w:val="el-GR"/>
        </w:rPr>
        <w:t xml:space="preserve">. </w:t>
      </w:r>
      <w:r w:rsidRPr="00CC1034">
        <w:rPr>
          <w:color w:val="auto"/>
          <w:lang w:val="en-GB"/>
        </w:rPr>
        <w:t>H</w:t>
      </w:r>
      <w:r w:rsidRPr="00CC1034">
        <w:rPr>
          <w:color w:val="auto"/>
          <w:lang w:val="el-GR"/>
        </w:rPr>
        <w:t xml:space="preserve"> </w:t>
      </w:r>
      <w:r w:rsidR="00673DBA" w:rsidRPr="00CC1034">
        <w:rPr>
          <w:color w:val="auto"/>
          <w:lang w:val="el-GR"/>
        </w:rPr>
        <w:t>παροχή οικονομικού πλεονεκτήματος</w:t>
      </w:r>
    </w:p>
    <w:p w14:paraId="4BAC4769" w14:textId="1E2733DB" w:rsidR="00DE71EF" w:rsidRPr="00CC1034" w:rsidRDefault="00DE71EF" w:rsidP="00DE71EF">
      <w:pPr>
        <w:pStyle w:val="Heading5"/>
        <w:rPr>
          <w:color w:val="auto"/>
          <w:lang w:val="el-GR"/>
        </w:rPr>
      </w:pPr>
      <w:r w:rsidRPr="00CC1034">
        <w:rPr>
          <w:color w:val="auto"/>
          <w:lang w:val="el-GR"/>
        </w:rPr>
        <w:tab/>
      </w:r>
      <w:r w:rsidR="00386C89" w:rsidRPr="00CC1034">
        <w:rPr>
          <w:color w:val="auto"/>
          <w:lang w:val="el-GR"/>
        </w:rPr>
        <w:tab/>
      </w:r>
      <w:r w:rsidRPr="00CC1034">
        <w:rPr>
          <w:color w:val="auto"/>
          <w:lang w:val="en-GB"/>
        </w:rPr>
        <w:t>ii</w:t>
      </w:r>
      <w:r w:rsidRPr="00CC1034">
        <w:rPr>
          <w:color w:val="auto"/>
          <w:lang w:val="el-GR"/>
        </w:rPr>
        <w:t>.</w:t>
      </w:r>
      <w:r w:rsidR="00673DBA" w:rsidRPr="00CC1034">
        <w:rPr>
          <w:color w:val="auto"/>
          <w:lang w:val="el-GR"/>
        </w:rPr>
        <w:t xml:space="preserve"> Η μεταφορά κρατικών πόρων</w:t>
      </w:r>
    </w:p>
    <w:p w14:paraId="17B6B7B6" w14:textId="60FD28E1" w:rsidR="00DE71EF" w:rsidRPr="00CC1034" w:rsidRDefault="00DE71EF" w:rsidP="00DE71EF">
      <w:pPr>
        <w:pStyle w:val="Heading5"/>
        <w:rPr>
          <w:color w:val="auto"/>
          <w:lang w:val="el-GR"/>
        </w:rPr>
      </w:pPr>
      <w:r w:rsidRPr="00CC1034">
        <w:rPr>
          <w:color w:val="auto"/>
          <w:lang w:val="el-GR"/>
        </w:rPr>
        <w:tab/>
      </w:r>
      <w:r w:rsidR="00386C89" w:rsidRPr="00CC1034">
        <w:rPr>
          <w:color w:val="auto"/>
          <w:lang w:val="el-GR"/>
        </w:rPr>
        <w:tab/>
      </w:r>
      <w:r w:rsidRPr="00CC1034">
        <w:rPr>
          <w:color w:val="auto"/>
          <w:lang w:val="en-GB"/>
        </w:rPr>
        <w:t>iii</w:t>
      </w:r>
      <w:r w:rsidRPr="00CC1034">
        <w:rPr>
          <w:color w:val="auto"/>
          <w:lang w:val="el-GR"/>
        </w:rPr>
        <w:t>.</w:t>
      </w:r>
      <w:r w:rsidR="00673DBA" w:rsidRPr="00CC1034">
        <w:rPr>
          <w:color w:val="auto"/>
          <w:lang w:val="el-GR"/>
        </w:rPr>
        <w:t xml:space="preserve"> </w:t>
      </w:r>
      <w:r w:rsidR="00386C89" w:rsidRPr="00CC1034">
        <w:rPr>
          <w:color w:val="auto"/>
          <w:lang w:val="el-GR"/>
        </w:rPr>
        <w:t>Η επιλεκτικότητα του μέτρου</w:t>
      </w:r>
    </w:p>
    <w:p w14:paraId="58444805" w14:textId="6B163526" w:rsidR="00DE71EF" w:rsidRPr="00CC1034" w:rsidRDefault="00DE71EF" w:rsidP="00DE71EF">
      <w:pPr>
        <w:pStyle w:val="Heading5"/>
        <w:rPr>
          <w:color w:val="auto"/>
          <w:lang w:val="el-GR"/>
        </w:rPr>
      </w:pPr>
      <w:r w:rsidRPr="00CC1034">
        <w:rPr>
          <w:color w:val="auto"/>
          <w:lang w:val="el-GR"/>
        </w:rPr>
        <w:tab/>
      </w:r>
      <w:r w:rsidR="00386C89" w:rsidRPr="00CC1034">
        <w:rPr>
          <w:color w:val="auto"/>
          <w:lang w:val="el-GR"/>
        </w:rPr>
        <w:tab/>
      </w:r>
      <w:r w:rsidRPr="00CC1034">
        <w:rPr>
          <w:color w:val="auto"/>
          <w:lang w:val="en-GB"/>
        </w:rPr>
        <w:t>iv</w:t>
      </w:r>
      <w:r w:rsidRPr="00CC1034">
        <w:rPr>
          <w:color w:val="auto"/>
          <w:lang w:val="el-GR"/>
        </w:rPr>
        <w:t>.</w:t>
      </w:r>
      <w:r w:rsidR="00386C89" w:rsidRPr="00CC1034">
        <w:rPr>
          <w:color w:val="auto"/>
          <w:lang w:val="el-GR"/>
        </w:rPr>
        <w:t xml:space="preserve"> Περιορισμός του ανταγωνισμού και του εμπορίου</w:t>
      </w:r>
    </w:p>
    <w:p w14:paraId="0359FD72" w14:textId="4AC08F26" w:rsidR="00386C89" w:rsidRPr="00CC1034" w:rsidRDefault="00DE71EF" w:rsidP="00DE71EF">
      <w:pPr>
        <w:pStyle w:val="Heading4"/>
        <w:rPr>
          <w:color w:val="auto"/>
          <w:lang w:val="el-GR"/>
        </w:rPr>
      </w:pPr>
      <w:r w:rsidRPr="00CC1034">
        <w:rPr>
          <w:color w:val="auto"/>
          <w:lang w:val="el-GR"/>
        </w:rPr>
        <w:tab/>
      </w:r>
      <w:r w:rsidR="00386C89" w:rsidRPr="00CC1034">
        <w:rPr>
          <w:color w:val="auto"/>
          <w:lang w:val="el-GR"/>
        </w:rPr>
        <w:tab/>
      </w:r>
      <w:r w:rsidRPr="00CC1034">
        <w:rPr>
          <w:color w:val="auto"/>
          <w:lang w:val="el-GR"/>
        </w:rPr>
        <w:t>γ</w:t>
      </w:r>
      <w:r w:rsidR="0056486F" w:rsidRPr="00CC1034">
        <w:rPr>
          <w:color w:val="auto"/>
          <w:lang w:val="el-GR"/>
        </w:rPr>
        <w:t>.</w:t>
      </w:r>
      <w:r w:rsidR="00386C89" w:rsidRPr="00CC1034">
        <w:rPr>
          <w:color w:val="auto"/>
          <w:lang w:val="el-GR"/>
        </w:rPr>
        <w:t xml:space="preserve"> Ο κανονισμός </w:t>
      </w:r>
      <w:r w:rsidR="00386C89" w:rsidRPr="00CC1034">
        <w:rPr>
          <w:color w:val="auto"/>
          <w:lang w:val="fr-BE"/>
        </w:rPr>
        <w:t>de</w:t>
      </w:r>
      <w:r w:rsidR="00386C89" w:rsidRPr="00CC1034">
        <w:rPr>
          <w:color w:val="auto"/>
          <w:lang w:val="el-GR"/>
        </w:rPr>
        <w:t xml:space="preserve"> </w:t>
      </w:r>
      <w:r w:rsidR="00386C89" w:rsidRPr="00CC1034">
        <w:rPr>
          <w:color w:val="auto"/>
          <w:lang w:val="fr-BE"/>
        </w:rPr>
        <w:t>minimis</w:t>
      </w:r>
      <w:r w:rsidR="00386C89" w:rsidRPr="00CC1034">
        <w:rPr>
          <w:color w:val="auto"/>
          <w:lang w:val="el-GR"/>
        </w:rPr>
        <w:t xml:space="preserve"> </w:t>
      </w:r>
      <w:r w:rsidR="0056486F" w:rsidRPr="00CC1034">
        <w:rPr>
          <w:color w:val="auto"/>
          <w:lang w:val="el-GR"/>
        </w:rPr>
        <w:t xml:space="preserve"> </w:t>
      </w:r>
    </w:p>
    <w:p w14:paraId="5E32938D" w14:textId="53A7F3DF" w:rsidR="0056486F" w:rsidRPr="00CC1034" w:rsidRDefault="00386C89" w:rsidP="00386C89">
      <w:pPr>
        <w:pStyle w:val="Heading4"/>
        <w:ind w:left="708" w:firstLine="708"/>
        <w:rPr>
          <w:color w:val="auto"/>
          <w:lang w:val="el-GR"/>
        </w:rPr>
      </w:pPr>
      <w:r w:rsidRPr="00CC1034">
        <w:rPr>
          <w:color w:val="auto"/>
          <w:lang w:val="el-GR"/>
        </w:rPr>
        <w:t xml:space="preserve">δ. </w:t>
      </w:r>
      <w:r w:rsidR="0056486F" w:rsidRPr="00CC1034">
        <w:rPr>
          <w:color w:val="auto"/>
          <w:lang w:val="el-GR"/>
        </w:rPr>
        <w:t>Οι εξαιρέσεις</w:t>
      </w:r>
      <w:r w:rsidR="003A1D63" w:rsidRPr="00CC1034">
        <w:rPr>
          <w:color w:val="auto"/>
          <w:lang w:val="el-GR"/>
        </w:rPr>
        <w:t xml:space="preserve"> από τον απαγορευτικό κανόνα του άρθρου 107 παρ. 1 ΣΛΕΕ</w:t>
      </w:r>
      <w:r w:rsidRPr="00CC1034">
        <w:rPr>
          <w:color w:val="auto"/>
          <w:lang w:val="el-GR"/>
        </w:rPr>
        <w:t xml:space="preserve"> </w:t>
      </w:r>
    </w:p>
    <w:p w14:paraId="3D6524E6" w14:textId="2E2EB395" w:rsidR="003A1D63" w:rsidRPr="00CC1034" w:rsidRDefault="00386C89" w:rsidP="00386C89">
      <w:pPr>
        <w:pStyle w:val="Heading5"/>
        <w:ind w:left="1418"/>
        <w:rPr>
          <w:color w:val="auto"/>
          <w:lang w:val="el-GR"/>
        </w:rPr>
      </w:pPr>
      <w:r w:rsidRPr="00CC1034">
        <w:rPr>
          <w:color w:val="auto"/>
          <w:lang w:val="en-GB"/>
        </w:rPr>
        <w:t>i</w:t>
      </w:r>
      <w:r w:rsidRPr="00CC1034">
        <w:rPr>
          <w:color w:val="auto"/>
          <w:lang w:val="el-GR"/>
        </w:rPr>
        <w:t>.</w:t>
      </w:r>
      <w:r w:rsidR="00351F20" w:rsidRPr="00CC1034">
        <w:rPr>
          <w:color w:val="auto"/>
          <w:lang w:val="el-GR"/>
        </w:rPr>
        <w:t xml:space="preserve"> </w:t>
      </w:r>
      <w:r w:rsidR="003A1D63" w:rsidRPr="00CC1034">
        <w:rPr>
          <w:color w:val="auto"/>
          <w:lang w:val="el-GR"/>
        </w:rPr>
        <w:t>Συμβατές ενισχύσεις (107 παρ. 2 Σ</w:t>
      </w:r>
      <w:r w:rsidR="006549F3" w:rsidRPr="00CC1034">
        <w:rPr>
          <w:color w:val="auto"/>
          <w:lang w:val="el-GR"/>
        </w:rPr>
        <w:t>ΛΕΕ</w:t>
      </w:r>
      <w:r w:rsidR="003A1D63" w:rsidRPr="00CC1034">
        <w:rPr>
          <w:color w:val="auto"/>
          <w:lang w:val="el-GR"/>
        </w:rPr>
        <w:t>)</w:t>
      </w:r>
    </w:p>
    <w:p w14:paraId="6488FD9E" w14:textId="0938C716" w:rsidR="003A1D63" w:rsidRPr="00CC1034" w:rsidRDefault="00386C89" w:rsidP="00386C89">
      <w:pPr>
        <w:pStyle w:val="Heading5"/>
        <w:ind w:left="1418"/>
        <w:rPr>
          <w:color w:val="auto"/>
          <w:lang w:val="el-GR"/>
        </w:rPr>
      </w:pPr>
      <w:r w:rsidRPr="00CC1034">
        <w:rPr>
          <w:color w:val="auto"/>
          <w:lang w:val="en-GB"/>
        </w:rPr>
        <w:t>ii</w:t>
      </w:r>
      <w:r w:rsidRPr="00CC1034">
        <w:rPr>
          <w:color w:val="auto"/>
          <w:lang w:val="el-GR"/>
        </w:rPr>
        <w:t>.</w:t>
      </w:r>
      <w:r w:rsidR="003A1D63" w:rsidRPr="00CC1034">
        <w:rPr>
          <w:color w:val="auto"/>
          <w:lang w:val="el-GR"/>
        </w:rPr>
        <w:t xml:space="preserve"> Συμβιβάσιμες ενισχύσεις</w:t>
      </w:r>
      <w:r w:rsidR="00F82F5C" w:rsidRPr="00CC1034">
        <w:rPr>
          <w:color w:val="auto"/>
          <w:lang w:val="el-GR"/>
        </w:rPr>
        <w:t xml:space="preserve"> </w:t>
      </w:r>
      <w:r w:rsidR="006549F3" w:rsidRPr="00CC1034">
        <w:rPr>
          <w:color w:val="auto"/>
          <w:lang w:val="el-GR"/>
        </w:rPr>
        <w:t>(107 παρ. 3 ΣΛΕΕ)</w:t>
      </w:r>
    </w:p>
    <w:p w14:paraId="20A48DF0" w14:textId="7994BA68" w:rsidR="003A1D63" w:rsidRPr="00CC1034" w:rsidRDefault="003A1D63" w:rsidP="00033A1C">
      <w:pPr>
        <w:pStyle w:val="Heading6"/>
        <w:ind w:left="1416" w:firstLine="708"/>
        <w:rPr>
          <w:color w:val="auto"/>
          <w:lang w:val="el-GR"/>
        </w:rPr>
      </w:pPr>
      <w:r w:rsidRPr="00CC1034">
        <w:rPr>
          <w:color w:val="auto"/>
          <w:lang w:val="el-GR"/>
        </w:rPr>
        <w:t>1) Περιφερειακές ενισχύσεις</w:t>
      </w:r>
    </w:p>
    <w:p w14:paraId="40161D04" w14:textId="59C0195F" w:rsidR="00386C89" w:rsidRPr="00CC1034" w:rsidRDefault="003A1D63" w:rsidP="00033A1C">
      <w:pPr>
        <w:pStyle w:val="Heading6"/>
        <w:ind w:left="1418" w:firstLine="706"/>
        <w:rPr>
          <w:color w:val="auto"/>
          <w:lang w:val="el-GR"/>
        </w:rPr>
      </w:pPr>
      <w:r w:rsidRPr="00CC1034">
        <w:rPr>
          <w:color w:val="auto"/>
          <w:lang w:val="el-GR"/>
        </w:rPr>
        <w:t xml:space="preserve">2) </w:t>
      </w:r>
      <w:r w:rsidR="00F82F5C" w:rsidRPr="00CC1034">
        <w:rPr>
          <w:color w:val="auto"/>
          <w:lang w:val="el-GR"/>
        </w:rPr>
        <w:t>Γενικές οριζόντιες ενισχύσεις</w:t>
      </w:r>
    </w:p>
    <w:p w14:paraId="381D0089" w14:textId="21AC3B2B" w:rsidR="00386C89" w:rsidRPr="00CC1034" w:rsidRDefault="003A1D63" w:rsidP="00033A1C">
      <w:pPr>
        <w:pStyle w:val="Heading6"/>
        <w:ind w:left="1418" w:firstLine="706"/>
        <w:rPr>
          <w:color w:val="auto"/>
          <w:lang w:val="el-GR"/>
        </w:rPr>
      </w:pPr>
      <w:r w:rsidRPr="00CC1034">
        <w:rPr>
          <w:color w:val="auto"/>
          <w:lang w:val="el-GR"/>
        </w:rPr>
        <w:t>3)</w:t>
      </w:r>
      <w:r w:rsidR="00F82F5C" w:rsidRPr="00CC1034">
        <w:rPr>
          <w:color w:val="auto"/>
          <w:lang w:val="el-GR"/>
        </w:rPr>
        <w:t xml:space="preserve"> Τομεακές ενισχύσεις</w:t>
      </w:r>
    </w:p>
    <w:p w14:paraId="62DCAA6D" w14:textId="51C5A742" w:rsidR="00386C89" w:rsidRPr="00CC1034" w:rsidRDefault="003A1D63" w:rsidP="00033A1C">
      <w:pPr>
        <w:pStyle w:val="Heading6"/>
        <w:ind w:left="1418" w:firstLine="706"/>
        <w:rPr>
          <w:color w:val="auto"/>
          <w:lang w:val="el-GR"/>
        </w:rPr>
      </w:pPr>
      <w:r w:rsidRPr="00CC1034">
        <w:rPr>
          <w:color w:val="auto"/>
          <w:lang w:val="el-GR"/>
        </w:rPr>
        <w:t>4)</w:t>
      </w:r>
      <w:r w:rsidR="00CC1034">
        <w:rPr>
          <w:color w:val="auto"/>
          <w:lang w:val="el-GR"/>
        </w:rPr>
        <w:t xml:space="preserve"> Γενικός Κ</w:t>
      </w:r>
      <w:r w:rsidR="00F82F5C" w:rsidRPr="00CC1034">
        <w:rPr>
          <w:color w:val="auto"/>
          <w:lang w:val="el-GR"/>
        </w:rPr>
        <w:t xml:space="preserve">ανονισμός απαλλαγής </w:t>
      </w:r>
      <w:r w:rsidR="0024391C">
        <w:rPr>
          <w:color w:val="auto"/>
          <w:lang w:val="el-GR"/>
        </w:rPr>
        <w:t>651/2014</w:t>
      </w:r>
    </w:p>
    <w:p w14:paraId="462395B7" w14:textId="3E86C3F8" w:rsidR="0056486F" w:rsidRPr="00CC1034" w:rsidRDefault="00386C89" w:rsidP="003A1D63">
      <w:pPr>
        <w:pStyle w:val="Heading4"/>
        <w:ind w:left="708" w:firstLine="708"/>
        <w:rPr>
          <w:color w:val="auto"/>
          <w:lang w:val="el-GR"/>
        </w:rPr>
      </w:pPr>
      <w:r w:rsidRPr="00CC1034">
        <w:rPr>
          <w:color w:val="auto"/>
          <w:lang w:val="el-GR"/>
        </w:rPr>
        <w:t>ε</w:t>
      </w:r>
      <w:r w:rsidR="0056486F" w:rsidRPr="00CC1034">
        <w:rPr>
          <w:color w:val="auto"/>
          <w:lang w:val="el-GR"/>
        </w:rPr>
        <w:t>. Η διαδικασία ελέγχου</w:t>
      </w:r>
    </w:p>
    <w:p w14:paraId="2039857C" w14:textId="77B00E16" w:rsidR="00386C89" w:rsidRPr="00CC1034" w:rsidRDefault="00386C89" w:rsidP="00386C89">
      <w:pPr>
        <w:pStyle w:val="Heading5"/>
        <w:ind w:left="1418"/>
        <w:rPr>
          <w:color w:val="auto"/>
          <w:lang w:val="el-GR"/>
        </w:rPr>
      </w:pPr>
      <w:r w:rsidRPr="00CC1034">
        <w:rPr>
          <w:color w:val="auto"/>
          <w:lang w:val="en-GB"/>
        </w:rPr>
        <w:t>i</w:t>
      </w:r>
      <w:r w:rsidRPr="00CC1034">
        <w:rPr>
          <w:color w:val="auto"/>
          <w:lang w:val="el-GR"/>
        </w:rPr>
        <w:t>.</w:t>
      </w:r>
      <w:r w:rsidR="00F82F5C" w:rsidRPr="00CC1034">
        <w:rPr>
          <w:color w:val="auto"/>
          <w:lang w:val="el-GR"/>
        </w:rPr>
        <w:t xml:space="preserve"> Η υποχρέωση κοινοποίησης των νέων ενισχύσεων στην Επιτροπή</w:t>
      </w:r>
    </w:p>
    <w:p w14:paraId="59C2ACA1" w14:textId="0EE39AAC" w:rsidR="00386C89" w:rsidRPr="00CC1034" w:rsidRDefault="00386C89" w:rsidP="00386C89">
      <w:pPr>
        <w:pStyle w:val="Heading5"/>
        <w:ind w:left="1418"/>
        <w:rPr>
          <w:color w:val="auto"/>
          <w:lang w:val="el-GR"/>
        </w:rPr>
      </w:pPr>
      <w:proofErr w:type="gramStart"/>
      <w:r w:rsidRPr="00CC1034">
        <w:rPr>
          <w:color w:val="auto"/>
          <w:lang w:val="en-GB"/>
        </w:rPr>
        <w:t>ii</w:t>
      </w:r>
      <w:r w:rsidRPr="00CC1034">
        <w:rPr>
          <w:color w:val="auto"/>
          <w:lang w:val="el-GR"/>
        </w:rPr>
        <w:t>.</w:t>
      </w:r>
      <w:r w:rsidR="00F82F5C" w:rsidRPr="00CC1034">
        <w:rPr>
          <w:color w:val="auto"/>
          <w:lang w:val="el-GR"/>
        </w:rPr>
        <w:t>Ο</w:t>
      </w:r>
      <w:proofErr w:type="gramEnd"/>
      <w:r w:rsidR="00F82F5C" w:rsidRPr="00CC1034">
        <w:rPr>
          <w:color w:val="auto"/>
          <w:lang w:val="el-GR"/>
        </w:rPr>
        <w:t xml:space="preserve"> διαρκής έλεγχος </w:t>
      </w:r>
      <w:r w:rsidR="003A1D63" w:rsidRPr="00CC1034">
        <w:rPr>
          <w:color w:val="auto"/>
          <w:lang w:val="el-GR"/>
        </w:rPr>
        <w:t>των υφιστάμενων ενισχύσεων</w:t>
      </w:r>
    </w:p>
    <w:p w14:paraId="1C657A60" w14:textId="19E14DDD" w:rsidR="00386C89" w:rsidRPr="00CC1034" w:rsidRDefault="00386C89" w:rsidP="00386C89">
      <w:pPr>
        <w:pStyle w:val="Heading5"/>
        <w:ind w:left="1418"/>
        <w:rPr>
          <w:color w:val="auto"/>
          <w:lang w:val="el-GR"/>
        </w:rPr>
      </w:pPr>
      <w:r w:rsidRPr="00CC1034">
        <w:rPr>
          <w:color w:val="auto"/>
          <w:lang w:val="en-GB"/>
        </w:rPr>
        <w:t>iii</w:t>
      </w:r>
      <w:r w:rsidRPr="00CC1034">
        <w:rPr>
          <w:color w:val="auto"/>
          <w:lang w:val="el-GR"/>
        </w:rPr>
        <w:t>.</w:t>
      </w:r>
      <w:r w:rsidR="003A1D63" w:rsidRPr="00CC1034">
        <w:rPr>
          <w:color w:val="auto"/>
          <w:lang w:val="el-GR"/>
        </w:rPr>
        <w:t xml:space="preserve"> Οι αποφάσεις της Επιτροπής </w:t>
      </w:r>
    </w:p>
    <w:p w14:paraId="4FB2CFF8" w14:textId="6D813A42" w:rsidR="003A1D63" w:rsidRPr="00CC1034" w:rsidRDefault="003A1D63" w:rsidP="003A1D63">
      <w:pPr>
        <w:pStyle w:val="Heading6"/>
        <w:rPr>
          <w:color w:val="auto"/>
          <w:lang w:val="el-GR"/>
        </w:rPr>
      </w:pPr>
      <w:r w:rsidRPr="00CC1034">
        <w:rPr>
          <w:color w:val="auto"/>
          <w:lang w:val="el-GR"/>
        </w:rPr>
        <w:tab/>
      </w:r>
      <w:r w:rsidRPr="00CC1034">
        <w:rPr>
          <w:color w:val="auto"/>
          <w:lang w:val="el-GR"/>
        </w:rPr>
        <w:tab/>
      </w:r>
      <w:r w:rsidR="00033A1C" w:rsidRPr="00CC1034">
        <w:rPr>
          <w:color w:val="auto"/>
          <w:lang w:val="el-GR"/>
        </w:rPr>
        <w:tab/>
      </w:r>
      <w:r w:rsidRPr="00CC1034">
        <w:rPr>
          <w:color w:val="auto"/>
          <w:lang w:val="el-GR"/>
        </w:rPr>
        <w:t>1) Οι έννομες συνέπειες: Η υποχρέωση ανάκτησης των ενισχύσεων</w:t>
      </w:r>
    </w:p>
    <w:p w14:paraId="43F60361" w14:textId="11A4DC8E" w:rsidR="003A1D63" w:rsidRPr="00CC1034" w:rsidRDefault="003A1D63" w:rsidP="003A1D63">
      <w:pPr>
        <w:pStyle w:val="Heading6"/>
        <w:rPr>
          <w:color w:val="auto"/>
          <w:lang w:val="el-GR"/>
        </w:rPr>
      </w:pPr>
      <w:r w:rsidRPr="00CC1034">
        <w:rPr>
          <w:color w:val="auto"/>
          <w:lang w:val="el-GR"/>
        </w:rPr>
        <w:tab/>
      </w:r>
      <w:r w:rsidRPr="00CC1034">
        <w:rPr>
          <w:color w:val="auto"/>
          <w:lang w:val="el-GR"/>
        </w:rPr>
        <w:tab/>
      </w:r>
      <w:r w:rsidR="00033A1C" w:rsidRPr="00CC1034">
        <w:rPr>
          <w:color w:val="auto"/>
          <w:lang w:val="el-GR"/>
        </w:rPr>
        <w:tab/>
      </w:r>
      <w:r w:rsidRPr="00CC1034">
        <w:rPr>
          <w:color w:val="auto"/>
          <w:lang w:val="el-GR"/>
        </w:rPr>
        <w:t>2) Ο δικαστικός έλεγχος</w:t>
      </w:r>
    </w:p>
    <w:p w14:paraId="7C147F33" w14:textId="6F1801A9" w:rsidR="00386C89" w:rsidRPr="00CC1034" w:rsidRDefault="00386C89" w:rsidP="00386C89">
      <w:pPr>
        <w:pStyle w:val="Heading5"/>
        <w:ind w:left="1418"/>
        <w:rPr>
          <w:color w:val="auto"/>
          <w:lang w:val="el-GR"/>
        </w:rPr>
      </w:pPr>
      <w:r w:rsidRPr="00CC1034">
        <w:rPr>
          <w:color w:val="auto"/>
          <w:lang w:val="en-GB"/>
        </w:rPr>
        <w:t>iv</w:t>
      </w:r>
      <w:r w:rsidRPr="00CC1034">
        <w:rPr>
          <w:color w:val="auto"/>
          <w:lang w:val="el-GR"/>
        </w:rPr>
        <w:t>.</w:t>
      </w:r>
      <w:r w:rsidR="003A1D63" w:rsidRPr="00CC1034">
        <w:rPr>
          <w:color w:val="auto"/>
          <w:lang w:val="el-GR"/>
        </w:rPr>
        <w:t xml:space="preserve"> </w:t>
      </w:r>
      <w:r w:rsidR="006549F3" w:rsidRPr="00CC1034">
        <w:rPr>
          <w:color w:val="auto"/>
          <w:lang w:val="el-GR"/>
        </w:rPr>
        <w:t>Ο ρόλος του εθνικού δικαστή</w:t>
      </w:r>
    </w:p>
    <w:p w14:paraId="1D81D343" w14:textId="77777777" w:rsidR="0056486F" w:rsidRPr="00CC1034" w:rsidRDefault="0056486F" w:rsidP="0056486F">
      <w:pPr>
        <w:rPr>
          <w:lang w:val="el-GR"/>
        </w:rPr>
      </w:pPr>
    </w:p>
    <w:p w14:paraId="0D5C21F8" w14:textId="77777777" w:rsidR="00BD1CB5" w:rsidRPr="0024391C" w:rsidRDefault="00BD1CB5" w:rsidP="00C82F24">
      <w:pPr>
        <w:pStyle w:val="Heading1"/>
        <w:rPr>
          <w:color w:val="auto"/>
          <w:lang w:val="el-GR"/>
        </w:rPr>
      </w:pPr>
    </w:p>
    <w:p w14:paraId="5C2FD3C0" w14:textId="77777777" w:rsidR="00BD1CB5" w:rsidRPr="0024391C" w:rsidRDefault="00BD1CB5" w:rsidP="00C82F24">
      <w:pPr>
        <w:pStyle w:val="Heading1"/>
        <w:rPr>
          <w:color w:val="auto"/>
          <w:lang w:val="el-GR"/>
        </w:rPr>
      </w:pPr>
    </w:p>
    <w:p w14:paraId="31DB5414" w14:textId="77777777" w:rsidR="00BD1CB5" w:rsidRPr="0024391C" w:rsidRDefault="00BD1CB5" w:rsidP="00BD1CB5">
      <w:pPr>
        <w:rPr>
          <w:lang w:val="el-GR"/>
        </w:rPr>
      </w:pPr>
    </w:p>
    <w:p w14:paraId="46354940" w14:textId="77777777" w:rsidR="00BD1CB5" w:rsidRPr="0024391C" w:rsidRDefault="00BD1CB5" w:rsidP="00BD1CB5">
      <w:pPr>
        <w:rPr>
          <w:lang w:val="el-GR"/>
        </w:rPr>
      </w:pPr>
    </w:p>
    <w:p w14:paraId="263C6209" w14:textId="77777777" w:rsidR="002375AE" w:rsidRPr="00CC1034" w:rsidRDefault="002375AE" w:rsidP="00BD1CB5">
      <w:pPr>
        <w:rPr>
          <w:rFonts w:asciiTheme="majorHAnsi" w:hAnsiTheme="majorHAnsi" w:cstheme="majorHAnsi"/>
          <w:b/>
          <w:sz w:val="32"/>
          <w:szCs w:val="32"/>
          <w:lang w:val="el-GR"/>
        </w:rPr>
      </w:pPr>
    </w:p>
    <w:p w14:paraId="7589A8D7" w14:textId="77777777" w:rsidR="002375AE" w:rsidRPr="00CC1034" w:rsidRDefault="002375AE" w:rsidP="00BD1CB5">
      <w:pPr>
        <w:rPr>
          <w:rFonts w:asciiTheme="majorHAnsi" w:hAnsiTheme="majorHAnsi" w:cstheme="majorHAnsi"/>
          <w:b/>
          <w:sz w:val="32"/>
          <w:szCs w:val="32"/>
          <w:lang w:val="el-GR"/>
        </w:rPr>
      </w:pPr>
    </w:p>
    <w:p w14:paraId="3D1F3B70" w14:textId="77777777" w:rsidR="002375AE" w:rsidRPr="00CC1034" w:rsidRDefault="002375AE" w:rsidP="00BD1CB5">
      <w:pPr>
        <w:rPr>
          <w:rFonts w:asciiTheme="majorHAnsi" w:hAnsiTheme="majorHAnsi" w:cstheme="majorHAnsi"/>
          <w:b/>
          <w:sz w:val="32"/>
          <w:szCs w:val="32"/>
          <w:lang w:val="el-GR"/>
        </w:rPr>
      </w:pPr>
    </w:p>
    <w:p w14:paraId="723810ED" w14:textId="77777777" w:rsidR="002375AE" w:rsidRPr="00CC1034" w:rsidRDefault="002375AE" w:rsidP="00BD1CB5">
      <w:pPr>
        <w:rPr>
          <w:rFonts w:asciiTheme="majorHAnsi" w:hAnsiTheme="majorHAnsi" w:cstheme="majorHAnsi"/>
          <w:b/>
          <w:sz w:val="32"/>
          <w:szCs w:val="32"/>
          <w:lang w:val="el-GR"/>
        </w:rPr>
      </w:pPr>
    </w:p>
    <w:p w14:paraId="6BEE3ABF" w14:textId="77777777" w:rsidR="002375AE" w:rsidRPr="00CC1034" w:rsidRDefault="002375AE" w:rsidP="00BD1CB5">
      <w:pPr>
        <w:rPr>
          <w:rFonts w:asciiTheme="majorHAnsi" w:hAnsiTheme="majorHAnsi" w:cstheme="majorHAnsi"/>
          <w:b/>
          <w:sz w:val="32"/>
          <w:szCs w:val="32"/>
          <w:lang w:val="el-GR"/>
        </w:rPr>
      </w:pPr>
    </w:p>
    <w:p w14:paraId="33DC782F" w14:textId="7A10F690" w:rsidR="00F06E20" w:rsidRPr="00B540EF" w:rsidRDefault="00C82F24" w:rsidP="00BD1CB5">
      <w:pPr>
        <w:rPr>
          <w:rFonts w:asciiTheme="majorHAnsi" w:hAnsiTheme="majorHAnsi" w:cstheme="majorHAnsi"/>
          <w:b/>
          <w:color w:val="1F497D" w:themeColor="text2"/>
          <w:sz w:val="32"/>
          <w:szCs w:val="32"/>
          <w:lang w:val="el-GR"/>
        </w:rPr>
      </w:pPr>
      <w:r w:rsidRPr="00B540EF">
        <w:rPr>
          <w:rFonts w:asciiTheme="majorHAnsi" w:hAnsiTheme="majorHAnsi" w:cstheme="majorHAnsi"/>
          <w:b/>
          <w:color w:val="1F497D" w:themeColor="text2"/>
          <w:sz w:val="32"/>
          <w:szCs w:val="32"/>
          <w:lang w:val="el-GR"/>
        </w:rPr>
        <w:t>Ενδεικτική βιβλιογραφία</w:t>
      </w:r>
      <w:r w:rsidR="00A53476" w:rsidRPr="00B540EF">
        <w:rPr>
          <w:rFonts w:asciiTheme="majorHAnsi" w:hAnsiTheme="majorHAnsi" w:cstheme="majorHAnsi"/>
          <w:b/>
          <w:color w:val="1F497D" w:themeColor="text2"/>
          <w:sz w:val="32"/>
          <w:szCs w:val="32"/>
          <w:lang w:val="el-GR"/>
        </w:rPr>
        <w:t xml:space="preserve"> και </w:t>
      </w:r>
      <w:r w:rsidR="00D53E9D" w:rsidRPr="00B540EF">
        <w:rPr>
          <w:rFonts w:asciiTheme="majorHAnsi" w:hAnsiTheme="majorHAnsi" w:cstheme="majorHAnsi"/>
          <w:b/>
          <w:color w:val="1F497D" w:themeColor="text2"/>
          <w:sz w:val="32"/>
          <w:szCs w:val="32"/>
          <w:lang w:val="el-GR"/>
        </w:rPr>
        <w:t xml:space="preserve">χρήσιμοι </w:t>
      </w:r>
      <w:r w:rsidR="00A53476" w:rsidRPr="00B540EF">
        <w:rPr>
          <w:rFonts w:asciiTheme="majorHAnsi" w:hAnsiTheme="majorHAnsi" w:cstheme="majorHAnsi"/>
          <w:b/>
          <w:color w:val="1F497D" w:themeColor="text2"/>
          <w:sz w:val="32"/>
          <w:szCs w:val="32"/>
          <w:lang w:val="el-GR"/>
        </w:rPr>
        <w:t>διαδικτυακοί ιστότοποι</w:t>
      </w:r>
    </w:p>
    <w:p w14:paraId="3BA03EE4" w14:textId="29182501" w:rsidR="00C82F24" w:rsidRPr="00CC1034" w:rsidRDefault="00C82F24" w:rsidP="00C82F24">
      <w:pPr>
        <w:pStyle w:val="Heading2"/>
        <w:rPr>
          <w:color w:val="auto"/>
          <w:lang w:val="el-GR"/>
        </w:rPr>
      </w:pPr>
      <w:r w:rsidRPr="00CC1034">
        <w:rPr>
          <w:color w:val="auto"/>
          <w:lang w:val="el-GR"/>
        </w:rPr>
        <w:t>Ενωσιακό εταιρικό δίκαιο</w:t>
      </w:r>
    </w:p>
    <w:p w14:paraId="0C484141" w14:textId="77777777" w:rsidR="00C82F24" w:rsidRPr="00CC1034" w:rsidRDefault="00C82F24" w:rsidP="00C82F24">
      <w:pPr>
        <w:rPr>
          <w:rFonts w:asciiTheme="majorHAnsi" w:hAnsiTheme="majorHAnsi" w:cstheme="majorHAnsi"/>
          <w:i/>
          <w:lang w:val="el-GR"/>
        </w:rPr>
      </w:pPr>
    </w:p>
    <w:p w14:paraId="66334661" w14:textId="55119587" w:rsidR="00C82F24" w:rsidRPr="00CC1034" w:rsidRDefault="00C82F24" w:rsidP="00C82F24">
      <w:pPr>
        <w:rPr>
          <w:rFonts w:asciiTheme="majorHAnsi" w:hAnsiTheme="majorHAnsi" w:cstheme="majorHAnsi"/>
          <w:i/>
          <w:lang w:val="el-GR"/>
        </w:rPr>
      </w:pPr>
      <w:r w:rsidRPr="00CC1034">
        <w:rPr>
          <w:rFonts w:asciiTheme="majorHAnsi" w:hAnsiTheme="majorHAnsi" w:cstheme="majorHAnsi"/>
          <w:i/>
          <w:lang w:val="el-GR"/>
        </w:rPr>
        <w:t>Ελληνόγλωσση</w:t>
      </w:r>
    </w:p>
    <w:p w14:paraId="4AFC0D0A" w14:textId="26E158A7" w:rsidR="00C82F24" w:rsidRPr="00CC1034" w:rsidRDefault="00425FED" w:rsidP="00C1521B">
      <w:pPr>
        <w:spacing w:before="120"/>
        <w:rPr>
          <w:rFonts w:ascii="Calibri" w:hAnsi="Calibri" w:cstheme="majorHAnsi"/>
          <w:lang w:val="el-GR"/>
        </w:rPr>
      </w:pPr>
      <w:r w:rsidRPr="00793F80">
        <w:rPr>
          <w:rFonts w:ascii="Calibri" w:hAnsi="Calibri" w:cstheme="majorHAnsi"/>
          <w:smallCaps/>
          <w:lang w:val="el-GR"/>
        </w:rPr>
        <w:t>Λ. Κοτσίρης</w:t>
      </w:r>
      <w:r w:rsidRPr="00CC1034">
        <w:rPr>
          <w:rFonts w:ascii="Calibri" w:hAnsi="Calibri" w:cstheme="majorHAnsi"/>
          <w:lang w:val="el-GR"/>
        </w:rPr>
        <w:t>, Ευρωπαϊκό Εμπορικό δίκαιο, εκδ. Σάκκουλα, 2012</w:t>
      </w:r>
    </w:p>
    <w:p w14:paraId="59653737" w14:textId="77777777" w:rsidR="00CC59AE" w:rsidRPr="00CC1034" w:rsidRDefault="00CC59AE" w:rsidP="00C82F24">
      <w:pPr>
        <w:rPr>
          <w:rFonts w:ascii="Calibri" w:hAnsi="Calibri" w:cstheme="majorHAnsi"/>
          <w:i/>
          <w:lang w:val="el-GR"/>
        </w:rPr>
      </w:pPr>
    </w:p>
    <w:p w14:paraId="494AC919" w14:textId="5286736A" w:rsidR="00C82F24" w:rsidRPr="00CC1034" w:rsidRDefault="00C82F24" w:rsidP="00C82F24">
      <w:pPr>
        <w:rPr>
          <w:rFonts w:ascii="Calibri" w:hAnsi="Calibri" w:cstheme="majorHAnsi"/>
          <w:i/>
          <w:lang w:val="el-GR"/>
        </w:rPr>
      </w:pPr>
      <w:r w:rsidRPr="00CC1034">
        <w:rPr>
          <w:rFonts w:ascii="Calibri" w:hAnsi="Calibri" w:cstheme="majorHAnsi"/>
          <w:i/>
          <w:lang w:val="el-GR"/>
        </w:rPr>
        <w:t>Ξενόγλωσση</w:t>
      </w:r>
    </w:p>
    <w:p w14:paraId="1E56E7EB" w14:textId="14831ACC" w:rsidR="00A54F7A" w:rsidRPr="0024391C" w:rsidRDefault="00A54F7A" w:rsidP="00BD1CB5">
      <w:pPr>
        <w:spacing w:before="120"/>
        <w:jc w:val="both"/>
        <w:rPr>
          <w:rFonts w:ascii="Calibri" w:eastAsia="Times New Roman" w:hAnsi="Calibri" w:cs="Times New Roman"/>
          <w:lang w:val="el-GR"/>
        </w:rPr>
      </w:pPr>
      <w:r w:rsidRPr="00793F80">
        <w:rPr>
          <w:rFonts w:ascii="Calibri" w:eastAsia="Times New Roman" w:hAnsi="Calibri" w:cs="Times New Roman"/>
          <w:smallCaps/>
        </w:rPr>
        <w:t>M</w:t>
      </w:r>
      <w:r w:rsidR="00C1521B" w:rsidRPr="0024391C">
        <w:rPr>
          <w:rFonts w:ascii="Calibri" w:eastAsia="Times New Roman" w:hAnsi="Calibri" w:cs="Times New Roman"/>
          <w:smallCaps/>
          <w:lang w:val="el-GR"/>
        </w:rPr>
        <w:t>.</w:t>
      </w:r>
      <w:r w:rsidRPr="0024391C">
        <w:rPr>
          <w:rFonts w:ascii="Calibri" w:eastAsia="Times New Roman" w:hAnsi="Calibri" w:cs="Times New Roman"/>
          <w:smallCaps/>
          <w:lang w:val="el-GR"/>
        </w:rPr>
        <w:t xml:space="preserve"> </w:t>
      </w:r>
      <w:r w:rsidRPr="00793F80">
        <w:rPr>
          <w:rFonts w:ascii="Calibri" w:eastAsia="Times New Roman" w:hAnsi="Calibri" w:cs="Times New Roman"/>
          <w:smallCaps/>
        </w:rPr>
        <w:t>Andenas</w:t>
      </w:r>
      <w:r w:rsidRPr="0024391C">
        <w:rPr>
          <w:rFonts w:ascii="Calibri" w:eastAsia="Times New Roman" w:hAnsi="Calibri" w:cs="Times New Roman"/>
          <w:smallCaps/>
          <w:lang w:val="el-GR"/>
        </w:rPr>
        <w:t xml:space="preserve"> </w:t>
      </w:r>
      <w:r w:rsidRPr="00793F80">
        <w:rPr>
          <w:rFonts w:ascii="Calibri" w:eastAsia="Times New Roman" w:hAnsi="Calibri" w:cs="Times New Roman"/>
          <w:smallCaps/>
        </w:rPr>
        <w:t>and</w:t>
      </w:r>
      <w:r w:rsidRPr="0024391C">
        <w:rPr>
          <w:rFonts w:ascii="Calibri" w:eastAsia="Times New Roman" w:hAnsi="Calibri" w:cs="Times New Roman"/>
          <w:smallCaps/>
          <w:lang w:val="el-GR"/>
        </w:rPr>
        <w:t xml:space="preserve"> </w:t>
      </w:r>
      <w:r w:rsidRPr="00793F80">
        <w:rPr>
          <w:rFonts w:ascii="Calibri" w:eastAsia="Times New Roman" w:hAnsi="Calibri" w:cs="Times New Roman"/>
          <w:smallCaps/>
        </w:rPr>
        <w:t>F</w:t>
      </w:r>
      <w:r w:rsidR="00C1521B" w:rsidRPr="0024391C">
        <w:rPr>
          <w:rFonts w:ascii="Calibri" w:eastAsia="Times New Roman" w:hAnsi="Calibri" w:cs="Times New Roman"/>
          <w:smallCaps/>
          <w:lang w:val="el-GR"/>
        </w:rPr>
        <w:t>.</w:t>
      </w:r>
      <w:r w:rsidRPr="0024391C">
        <w:rPr>
          <w:rFonts w:ascii="Calibri" w:eastAsia="Times New Roman" w:hAnsi="Calibri" w:cs="Times New Roman"/>
          <w:smallCaps/>
          <w:lang w:val="el-GR"/>
        </w:rPr>
        <w:t xml:space="preserve"> </w:t>
      </w:r>
      <w:r w:rsidRPr="00793F80">
        <w:rPr>
          <w:rFonts w:ascii="Calibri" w:eastAsia="Times New Roman" w:hAnsi="Calibri" w:cs="Times New Roman"/>
          <w:smallCaps/>
        </w:rPr>
        <w:t>Wooldridge</w:t>
      </w:r>
      <w:r w:rsidRPr="0024391C">
        <w:rPr>
          <w:rFonts w:ascii="Calibri" w:eastAsia="Times New Roman" w:hAnsi="Calibri" w:cs="Times New Roman"/>
          <w:lang w:val="el-GR"/>
        </w:rPr>
        <w:t xml:space="preserve">, </w:t>
      </w:r>
      <w:r w:rsidRPr="00CC1034">
        <w:rPr>
          <w:rFonts w:ascii="Calibri" w:eastAsia="Times New Roman" w:hAnsi="Calibri" w:cs="Times New Roman"/>
        </w:rPr>
        <w:t>European</w:t>
      </w:r>
      <w:r w:rsidRPr="0024391C">
        <w:rPr>
          <w:rFonts w:ascii="Calibri" w:eastAsia="Times New Roman" w:hAnsi="Calibri" w:cs="Times New Roman"/>
          <w:lang w:val="el-GR"/>
        </w:rPr>
        <w:t xml:space="preserve"> </w:t>
      </w:r>
      <w:r w:rsidRPr="00CC1034">
        <w:rPr>
          <w:rFonts w:ascii="Calibri" w:eastAsia="Times New Roman" w:hAnsi="Calibri" w:cs="Times New Roman"/>
        </w:rPr>
        <w:t>Comparative</w:t>
      </w:r>
      <w:r w:rsidRPr="0024391C">
        <w:rPr>
          <w:rFonts w:ascii="Calibri" w:eastAsia="Times New Roman" w:hAnsi="Calibri" w:cs="Times New Roman"/>
          <w:lang w:val="el-GR"/>
        </w:rPr>
        <w:t xml:space="preserve"> </w:t>
      </w:r>
      <w:r w:rsidRPr="00CC1034">
        <w:rPr>
          <w:rFonts w:ascii="Calibri" w:eastAsia="Times New Roman" w:hAnsi="Calibri" w:cs="Times New Roman"/>
        </w:rPr>
        <w:t>Company</w:t>
      </w:r>
      <w:r w:rsidRPr="0024391C">
        <w:rPr>
          <w:rFonts w:ascii="Calibri" w:eastAsia="Times New Roman" w:hAnsi="Calibri" w:cs="Times New Roman"/>
          <w:lang w:val="el-GR"/>
        </w:rPr>
        <w:t xml:space="preserve"> </w:t>
      </w:r>
      <w:r w:rsidRPr="00CC1034">
        <w:rPr>
          <w:rFonts w:ascii="Calibri" w:eastAsia="Times New Roman" w:hAnsi="Calibri" w:cs="Times New Roman"/>
        </w:rPr>
        <w:t>Law</w:t>
      </w:r>
      <w:r w:rsidRPr="0024391C">
        <w:rPr>
          <w:rFonts w:ascii="Calibri" w:eastAsia="Times New Roman" w:hAnsi="Calibri" w:cs="Times New Roman"/>
          <w:lang w:val="el-GR"/>
        </w:rPr>
        <w:t xml:space="preserve">, </w:t>
      </w:r>
      <w:r w:rsidRPr="00CC1034">
        <w:rPr>
          <w:rFonts w:ascii="Calibri" w:eastAsia="Times New Roman" w:hAnsi="Calibri" w:cs="Times New Roman"/>
        </w:rPr>
        <w:t>Cambridge</w:t>
      </w:r>
      <w:r w:rsidRPr="0024391C">
        <w:rPr>
          <w:rFonts w:ascii="Calibri" w:eastAsia="Times New Roman" w:hAnsi="Calibri" w:cs="Times New Roman"/>
          <w:lang w:val="el-GR"/>
        </w:rPr>
        <w:t xml:space="preserve"> </w:t>
      </w:r>
      <w:r w:rsidRPr="00CC1034">
        <w:rPr>
          <w:rFonts w:ascii="Calibri" w:eastAsia="Times New Roman" w:hAnsi="Calibri" w:cs="Times New Roman"/>
        </w:rPr>
        <w:t>University</w:t>
      </w:r>
      <w:r w:rsidRPr="0024391C">
        <w:rPr>
          <w:rFonts w:ascii="Calibri" w:eastAsia="Times New Roman" w:hAnsi="Calibri" w:cs="Times New Roman"/>
          <w:lang w:val="el-GR"/>
        </w:rPr>
        <w:t xml:space="preserve"> </w:t>
      </w:r>
      <w:r w:rsidRPr="00CC1034">
        <w:rPr>
          <w:rFonts w:ascii="Calibri" w:eastAsia="Times New Roman" w:hAnsi="Calibri" w:cs="Times New Roman"/>
        </w:rPr>
        <w:t>Press</w:t>
      </w:r>
      <w:r w:rsidR="00C1521B" w:rsidRPr="0024391C">
        <w:rPr>
          <w:rFonts w:ascii="Calibri" w:eastAsia="Times New Roman" w:hAnsi="Calibri" w:cs="Times New Roman"/>
          <w:lang w:val="el-GR"/>
        </w:rPr>
        <w:t>,</w:t>
      </w:r>
      <w:r w:rsidRPr="0024391C">
        <w:rPr>
          <w:rFonts w:ascii="Calibri" w:eastAsia="Times New Roman" w:hAnsi="Calibri" w:cs="Times New Roman"/>
          <w:lang w:val="el-GR"/>
        </w:rPr>
        <w:t xml:space="preserve"> 2009</w:t>
      </w:r>
    </w:p>
    <w:p w14:paraId="7E15C594" w14:textId="324E913E" w:rsidR="00A54F7A" w:rsidRPr="00CC1034" w:rsidRDefault="00A54F7A" w:rsidP="00C1521B">
      <w:pPr>
        <w:jc w:val="both"/>
        <w:rPr>
          <w:rFonts w:ascii="Calibri" w:eastAsia="Times New Roman" w:hAnsi="Calibri" w:cs="Times New Roman"/>
        </w:rPr>
      </w:pPr>
      <w:r w:rsidRPr="00793F80">
        <w:rPr>
          <w:rFonts w:ascii="Calibri" w:eastAsia="Times New Roman" w:hAnsi="Calibri" w:cs="Times New Roman"/>
          <w:smallCaps/>
        </w:rPr>
        <w:t>U</w:t>
      </w:r>
      <w:r w:rsidR="00C1521B" w:rsidRPr="00793F80">
        <w:rPr>
          <w:rFonts w:ascii="Calibri" w:eastAsia="Times New Roman" w:hAnsi="Calibri" w:cs="Times New Roman"/>
          <w:smallCaps/>
          <w:lang w:val="en-GB"/>
        </w:rPr>
        <w:t>.</w:t>
      </w:r>
      <w:r w:rsidR="00D54584">
        <w:rPr>
          <w:rFonts w:ascii="Calibri" w:eastAsia="Times New Roman" w:hAnsi="Calibri" w:cs="Times New Roman"/>
          <w:smallCaps/>
        </w:rPr>
        <w:t xml:space="preserve"> Bernitz</w:t>
      </w:r>
      <w:r w:rsidR="00D54584" w:rsidRPr="0024391C">
        <w:rPr>
          <w:rFonts w:ascii="Calibri" w:eastAsia="Times New Roman" w:hAnsi="Calibri" w:cs="Times New Roman"/>
          <w:smallCaps/>
          <w:lang w:val="en-GB"/>
        </w:rPr>
        <w:t>,</w:t>
      </w:r>
      <w:r w:rsidRPr="00793F80">
        <w:rPr>
          <w:rFonts w:ascii="Calibri" w:eastAsia="Times New Roman" w:hAnsi="Calibri" w:cs="Times New Roman"/>
          <w:smallCaps/>
        </w:rPr>
        <w:t xml:space="preserve"> W-G</w:t>
      </w:r>
      <w:r w:rsidR="00C1521B" w:rsidRPr="00793F80">
        <w:rPr>
          <w:rFonts w:ascii="Calibri" w:eastAsia="Times New Roman" w:hAnsi="Calibri" w:cs="Times New Roman"/>
          <w:smallCaps/>
          <w:lang w:val="en-GB"/>
        </w:rPr>
        <w:t>.</w:t>
      </w:r>
      <w:r w:rsidRPr="00793F80">
        <w:rPr>
          <w:rFonts w:ascii="Calibri" w:eastAsia="Times New Roman" w:hAnsi="Calibri" w:cs="Times New Roman"/>
          <w:smallCaps/>
        </w:rPr>
        <w:t xml:space="preserve"> Ringe</w:t>
      </w:r>
      <w:r w:rsidRPr="00CC1034">
        <w:rPr>
          <w:rFonts w:ascii="Calibri" w:eastAsia="Times New Roman" w:hAnsi="Calibri" w:cs="Times New Roman"/>
        </w:rPr>
        <w:t>, Company Law and Economic Protectionism: New Challenges to European Integration, Oxford University Press</w:t>
      </w:r>
      <w:r w:rsidR="00793F80" w:rsidRPr="00793F80">
        <w:rPr>
          <w:rFonts w:ascii="Calibri" w:eastAsia="Times New Roman" w:hAnsi="Calibri" w:cs="Times New Roman"/>
          <w:lang w:val="en-GB"/>
        </w:rPr>
        <w:t>,</w:t>
      </w:r>
      <w:r w:rsidRPr="00CC1034">
        <w:rPr>
          <w:rFonts w:ascii="Calibri" w:eastAsia="Times New Roman" w:hAnsi="Calibri" w:cs="Times New Roman"/>
        </w:rPr>
        <w:t xml:space="preserve"> 2010</w:t>
      </w:r>
    </w:p>
    <w:p w14:paraId="47B3E016" w14:textId="7ADFC1D7" w:rsidR="00A54F7A" w:rsidRPr="00CC1034" w:rsidRDefault="00A54F7A" w:rsidP="00C1521B">
      <w:pPr>
        <w:jc w:val="both"/>
        <w:rPr>
          <w:rFonts w:ascii="Calibri" w:eastAsia="Times New Roman" w:hAnsi="Calibri" w:cs="Times New Roman"/>
        </w:rPr>
      </w:pPr>
      <w:r w:rsidRPr="00793F80">
        <w:rPr>
          <w:rFonts w:ascii="Calibri" w:eastAsia="Times New Roman" w:hAnsi="Calibri" w:cs="Times New Roman"/>
          <w:smallCaps/>
        </w:rPr>
        <w:t>A</w:t>
      </w:r>
      <w:r w:rsidR="00C1521B" w:rsidRPr="00793F80">
        <w:rPr>
          <w:rFonts w:ascii="Calibri" w:eastAsia="Times New Roman" w:hAnsi="Calibri" w:cs="Times New Roman"/>
          <w:smallCaps/>
        </w:rPr>
        <w:t>.</w:t>
      </w:r>
      <w:r w:rsidRPr="00793F80">
        <w:rPr>
          <w:rFonts w:ascii="Calibri" w:eastAsia="Times New Roman" w:hAnsi="Calibri" w:cs="Times New Roman"/>
          <w:smallCaps/>
        </w:rPr>
        <w:t xml:space="preserve"> F</w:t>
      </w:r>
      <w:r w:rsidR="00C1521B" w:rsidRPr="00793F80">
        <w:rPr>
          <w:rFonts w:ascii="Calibri" w:eastAsia="Times New Roman" w:hAnsi="Calibri" w:cs="Times New Roman"/>
          <w:smallCaps/>
        </w:rPr>
        <w:t>.</w:t>
      </w:r>
      <w:r w:rsidRPr="00793F80">
        <w:rPr>
          <w:rFonts w:ascii="Calibri" w:eastAsia="Times New Roman" w:hAnsi="Calibri" w:cs="Times New Roman"/>
          <w:smallCaps/>
        </w:rPr>
        <w:t xml:space="preserve"> M</w:t>
      </w:r>
      <w:r w:rsidR="00C1521B" w:rsidRPr="00793F80">
        <w:rPr>
          <w:rFonts w:ascii="Calibri" w:eastAsia="Times New Roman" w:hAnsi="Calibri" w:cs="Times New Roman"/>
          <w:smallCaps/>
        </w:rPr>
        <w:t>.</w:t>
      </w:r>
      <w:r w:rsidRPr="00793F80">
        <w:rPr>
          <w:rFonts w:ascii="Calibri" w:eastAsia="Times New Roman" w:hAnsi="Calibri" w:cs="Times New Roman"/>
          <w:smallCaps/>
        </w:rPr>
        <w:t xml:space="preserve"> Dorresteijn et al</w:t>
      </w:r>
      <w:r w:rsidRPr="00CC1034">
        <w:rPr>
          <w:rFonts w:ascii="Calibri" w:eastAsia="Times New Roman" w:hAnsi="Calibri" w:cs="Times New Roman"/>
        </w:rPr>
        <w:t xml:space="preserve"> (eds), European Corporate Law, Kluwer Law International</w:t>
      </w:r>
      <w:r w:rsidR="00C1521B" w:rsidRPr="00CC1034">
        <w:rPr>
          <w:rFonts w:ascii="Calibri" w:eastAsia="Times New Roman" w:hAnsi="Calibri" w:cs="Times New Roman"/>
        </w:rPr>
        <w:t>,</w:t>
      </w:r>
      <w:r w:rsidRPr="00CC1034">
        <w:rPr>
          <w:rFonts w:ascii="Calibri" w:eastAsia="Times New Roman" w:hAnsi="Calibri" w:cs="Times New Roman"/>
        </w:rPr>
        <w:t xml:space="preserve"> 2009</w:t>
      </w:r>
    </w:p>
    <w:p w14:paraId="633B362F" w14:textId="43345186" w:rsidR="00E50C5C" w:rsidRPr="00CC1034" w:rsidRDefault="00E50C5C" w:rsidP="00C1521B">
      <w:pPr>
        <w:jc w:val="both"/>
        <w:rPr>
          <w:rStyle w:val="st"/>
          <w:rFonts w:ascii="Calibri" w:eastAsia="Times New Roman" w:hAnsi="Calibri" w:cs="Times New Roman"/>
        </w:rPr>
      </w:pPr>
      <w:r w:rsidRPr="00793F80">
        <w:rPr>
          <w:rStyle w:val="st"/>
          <w:rFonts w:ascii="Calibri" w:eastAsia="Times New Roman" w:hAnsi="Calibri" w:cs="Times New Roman"/>
          <w:smallCaps/>
        </w:rPr>
        <w:t>V. Engammare, G. Mustaki</w:t>
      </w:r>
      <w:r w:rsidRPr="00CC1034">
        <w:rPr>
          <w:rStyle w:val="st"/>
          <w:rFonts w:ascii="Calibri" w:eastAsia="Times New Roman" w:hAnsi="Calibri" w:cs="Times New Roman"/>
        </w:rPr>
        <w:t xml:space="preserve">, </w:t>
      </w:r>
      <w:r w:rsidR="00A54F7A" w:rsidRPr="00CC1034">
        <w:rPr>
          <w:rStyle w:val="Emphasis"/>
          <w:rFonts w:ascii="Calibri" w:eastAsia="Times New Roman" w:hAnsi="Calibri" w:cs="Times New Roman"/>
          <w:i w:val="0"/>
        </w:rPr>
        <w:t>Droit européen des sociétés</w:t>
      </w:r>
      <w:r w:rsidRPr="00CC1034">
        <w:rPr>
          <w:rStyle w:val="Emphasis"/>
          <w:rFonts w:ascii="Calibri" w:eastAsia="Times New Roman" w:hAnsi="Calibri" w:cs="Times New Roman"/>
          <w:i w:val="0"/>
        </w:rPr>
        <w:t>,</w:t>
      </w:r>
      <w:r w:rsidR="00A54F7A" w:rsidRPr="00CC1034">
        <w:rPr>
          <w:rStyle w:val="st"/>
          <w:rFonts w:ascii="Calibri" w:eastAsia="Times New Roman" w:hAnsi="Calibri" w:cs="Times New Roman"/>
        </w:rPr>
        <w:t xml:space="preserve"> </w:t>
      </w:r>
      <w:r w:rsidR="00E10676" w:rsidRPr="00CC1034">
        <w:rPr>
          <w:rStyle w:val="st"/>
          <w:rFonts w:ascii="Calibri" w:eastAsia="Times New Roman" w:hAnsi="Calibri" w:cs="Times New Roman"/>
        </w:rPr>
        <w:t>LGDJ,</w:t>
      </w:r>
      <w:r w:rsidR="00C1521B" w:rsidRPr="00CC1034">
        <w:rPr>
          <w:rStyle w:val="st"/>
          <w:rFonts w:ascii="Calibri" w:eastAsia="Times New Roman" w:hAnsi="Calibri" w:cs="Times New Roman"/>
        </w:rPr>
        <w:t xml:space="preserve"> 2009</w:t>
      </w:r>
    </w:p>
    <w:p w14:paraId="5516FDDB" w14:textId="14C23F7E" w:rsidR="00A54F7A" w:rsidRPr="00CC1034" w:rsidRDefault="00A54F7A" w:rsidP="00C1521B">
      <w:pPr>
        <w:jc w:val="both"/>
        <w:rPr>
          <w:rFonts w:ascii="Calibri" w:eastAsia="Times New Roman" w:hAnsi="Calibri" w:cs="Times New Roman"/>
        </w:rPr>
      </w:pPr>
      <w:r w:rsidRPr="00793F80">
        <w:rPr>
          <w:rFonts w:ascii="Calibri" w:eastAsia="Times New Roman" w:hAnsi="Calibri" w:cs="Times New Roman"/>
          <w:smallCaps/>
        </w:rPr>
        <w:t>A</w:t>
      </w:r>
      <w:r w:rsidR="00C1521B" w:rsidRPr="00793F80">
        <w:rPr>
          <w:rFonts w:ascii="Calibri" w:eastAsia="Times New Roman" w:hAnsi="Calibri" w:cs="Times New Roman"/>
          <w:smallCaps/>
          <w:lang w:val="en-GB"/>
        </w:rPr>
        <w:t>.</w:t>
      </w:r>
      <w:r w:rsidRPr="00793F80">
        <w:rPr>
          <w:rFonts w:ascii="Calibri" w:eastAsia="Times New Roman" w:hAnsi="Calibri" w:cs="Times New Roman"/>
          <w:smallCaps/>
        </w:rPr>
        <w:t xml:space="preserve"> M</w:t>
      </w:r>
      <w:r w:rsidR="00C1521B" w:rsidRPr="00793F80">
        <w:rPr>
          <w:rFonts w:ascii="Calibri" w:eastAsia="Times New Roman" w:hAnsi="Calibri" w:cs="Times New Roman"/>
          <w:smallCaps/>
          <w:lang w:val="en-GB"/>
        </w:rPr>
        <w:t>.</w:t>
      </w:r>
      <w:r w:rsidR="00D54584">
        <w:rPr>
          <w:rFonts w:ascii="Calibri" w:eastAsia="Times New Roman" w:hAnsi="Calibri" w:cs="Times New Roman"/>
          <w:smallCaps/>
        </w:rPr>
        <w:t xml:space="preserve"> Fleckner</w:t>
      </w:r>
      <w:r w:rsidR="00D54584" w:rsidRPr="00D54584">
        <w:rPr>
          <w:rFonts w:ascii="Calibri" w:eastAsia="Times New Roman" w:hAnsi="Calibri" w:cs="Times New Roman"/>
          <w:smallCaps/>
          <w:lang w:val="en-GB"/>
        </w:rPr>
        <w:t>,</w:t>
      </w:r>
      <w:r w:rsidRPr="00793F80">
        <w:rPr>
          <w:rFonts w:ascii="Calibri" w:eastAsia="Times New Roman" w:hAnsi="Calibri" w:cs="Times New Roman"/>
          <w:smallCaps/>
        </w:rPr>
        <w:t xml:space="preserve"> K</w:t>
      </w:r>
      <w:r w:rsidR="00C1521B" w:rsidRPr="00793F80">
        <w:rPr>
          <w:rFonts w:ascii="Calibri" w:eastAsia="Times New Roman" w:hAnsi="Calibri" w:cs="Times New Roman"/>
          <w:smallCaps/>
          <w:lang w:val="en-GB"/>
        </w:rPr>
        <w:t>.</w:t>
      </w:r>
      <w:r w:rsidRPr="00793F80">
        <w:rPr>
          <w:rFonts w:ascii="Calibri" w:eastAsia="Times New Roman" w:hAnsi="Calibri" w:cs="Times New Roman"/>
          <w:smallCaps/>
        </w:rPr>
        <w:t xml:space="preserve"> J</w:t>
      </w:r>
      <w:r w:rsidR="00C1521B" w:rsidRPr="00793F80">
        <w:rPr>
          <w:rFonts w:ascii="Calibri" w:eastAsia="Times New Roman" w:hAnsi="Calibri" w:cs="Times New Roman"/>
          <w:smallCaps/>
          <w:lang w:val="en-GB"/>
        </w:rPr>
        <w:t>.</w:t>
      </w:r>
      <w:r w:rsidRPr="00793F80">
        <w:rPr>
          <w:rFonts w:ascii="Calibri" w:eastAsia="Times New Roman" w:hAnsi="Calibri" w:cs="Times New Roman"/>
          <w:smallCaps/>
        </w:rPr>
        <w:t xml:space="preserve"> Hopt</w:t>
      </w:r>
      <w:r w:rsidRPr="00CC1034">
        <w:rPr>
          <w:rFonts w:ascii="Calibri" w:eastAsia="Times New Roman" w:hAnsi="Calibri" w:cs="Times New Roman"/>
        </w:rPr>
        <w:t xml:space="preserve"> (eds), Comparative corporate governance: a functional and international analysis, Cambridge University Press</w:t>
      </w:r>
      <w:r w:rsidR="00C1521B" w:rsidRPr="00CC1034">
        <w:rPr>
          <w:rFonts w:ascii="Calibri" w:eastAsia="Times New Roman" w:hAnsi="Calibri" w:cs="Times New Roman"/>
          <w:lang w:val="en-GB"/>
        </w:rPr>
        <w:t>,</w:t>
      </w:r>
      <w:r w:rsidRPr="00CC1034">
        <w:rPr>
          <w:rFonts w:ascii="Calibri" w:eastAsia="Times New Roman" w:hAnsi="Calibri" w:cs="Times New Roman"/>
        </w:rPr>
        <w:t xml:space="preserve"> 2013</w:t>
      </w:r>
    </w:p>
    <w:p w14:paraId="25DFB06B" w14:textId="304658AC" w:rsidR="00A54F7A" w:rsidRPr="00CC1034" w:rsidRDefault="00A54F7A" w:rsidP="00C1521B">
      <w:pPr>
        <w:jc w:val="both"/>
        <w:rPr>
          <w:rFonts w:ascii="Calibri" w:eastAsia="Times New Roman" w:hAnsi="Calibri" w:cs="Times New Roman"/>
        </w:rPr>
      </w:pPr>
      <w:r w:rsidRPr="00793F80">
        <w:rPr>
          <w:rFonts w:ascii="Calibri" w:eastAsia="Times New Roman" w:hAnsi="Calibri" w:cs="Times New Roman"/>
          <w:smallCaps/>
        </w:rPr>
        <w:t>C</w:t>
      </w:r>
      <w:r w:rsidR="00C1521B" w:rsidRPr="00793F80">
        <w:rPr>
          <w:rFonts w:ascii="Calibri" w:eastAsia="Times New Roman" w:hAnsi="Calibri" w:cs="Times New Roman"/>
          <w:smallCaps/>
          <w:lang w:val="en-GB"/>
        </w:rPr>
        <w:t>.</w:t>
      </w:r>
      <w:r w:rsidR="00D54584">
        <w:rPr>
          <w:rFonts w:ascii="Calibri" w:eastAsia="Times New Roman" w:hAnsi="Calibri" w:cs="Times New Roman"/>
          <w:smallCaps/>
        </w:rPr>
        <w:t xml:space="preserve"> Gerner-Beuerle</w:t>
      </w:r>
      <w:r w:rsidR="00D54584" w:rsidRPr="00D54584">
        <w:rPr>
          <w:rFonts w:ascii="Calibri" w:eastAsia="Times New Roman" w:hAnsi="Calibri" w:cs="Times New Roman"/>
          <w:smallCaps/>
          <w:lang w:val="en-GB"/>
        </w:rPr>
        <w:t>,</w:t>
      </w:r>
      <w:r w:rsidRPr="00793F80">
        <w:rPr>
          <w:rFonts w:ascii="Calibri" w:eastAsia="Times New Roman" w:hAnsi="Calibri" w:cs="Times New Roman"/>
          <w:smallCaps/>
        </w:rPr>
        <w:t xml:space="preserve"> S</w:t>
      </w:r>
      <w:r w:rsidR="00C1521B" w:rsidRPr="00793F80">
        <w:rPr>
          <w:rFonts w:ascii="Calibri" w:eastAsia="Times New Roman" w:hAnsi="Calibri" w:cs="Times New Roman"/>
          <w:smallCaps/>
          <w:lang w:val="en-GB"/>
        </w:rPr>
        <w:t>.</w:t>
      </w:r>
      <w:r w:rsidRPr="00793F80">
        <w:rPr>
          <w:rFonts w:ascii="Calibri" w:eastAsia="Times New Roman" w:hAnsi="Calibri" w:cs="Times New Roman"/>
          <w:smallCaps/>
        </w:rPr>
        <w:t xml:space="preserve"> Fleet </w:t>
      </w:r>
      <w:r w:rsidRPr="00CC1034">
        <w:rPr>
          <w:rFonts w:ascii="Calibri" w:eastAsia="Times New Roman" w:hAnsi="Calibri" w:cs="Times New Roman"/>
        </w:rPr>
        <w:t>(eds), Gore-Brown on EU Company Law, Jordans Publishing, 2011-2015</w:t>
      </w:r>
    </w:p>
    <w:p w14:paraId="155808DC" w14:textId="77777777" w:rsidR="00C1521B" w:rsidRPr="0024391C" w:rsidRDefault="00C1521B" w:rsidP="00C1521B">
      <w:pPr>
        <w:jc w:val="both"/>
        <w:rPr>
          <w:rFonts w:ascii="Calibri" w:hAnsi="Calibri"/>
          <w:lang w:val="en-GB"/>
        </w:rPr>
      </w:pPr>
      <w:r w:rsidRPr="00793F80">
        <w:rPr>
          <w:rFonts w:ascii="Calibri" w:hAnsi="Calibri"/>
          <w:smallCaps/>
          <w:lang w:val="en-GB"/>
        </w:rPr>
        <w:t>S. Grundmann</w:t>
      </w:r>
      <w:r w:rsidRPr="00CC1034">
        <w:rPr>
          <w:rFonts w:ascii="Calibri" w:hAnsi="Calibri"/>
          <w:lang w:val="en-GB"/>
        </w:rPr>
        <w:t>, European Company law, Intersentia, 2011</w:t>
      </w:r>
    </w:p>
    <w:p w14:paraId="519D6287" w14:textId="6D58A262" w:rsidR="00A54F7A" w:rsidRPr="00CC1034" w:rsidRDefault="00E10676" w:rsidP="00C1521B">
      <w:pPr>
        <w:jc w:val="both"/>
        <w:rPr>
          <w:rFonts w:ascii="Calibri" w:eastAsia="Times New Roman" w:hAnsi="Calibri" w:cs="Times New Roman"/>
          <w:lang w:val="fr-BE"/>
        </w:rPr>
      </w:pPr>
      <w:r w:rsidRPr="00793F80">
        <w:rPr>
          <w:rStyle w:val="st"/>
          <w:rFonts w:ascii="Calibri" w:eastAsia="Times New Roman" w:hAnsi="Calibri" w:cs="Times New Roman"/>
          <w:smallCaps/>
          <w:lang w:val="fr-BE"/>
        </w:rPr>
        <w:t>M. Menjucq</w:t>
      </w:r>
      <w:r w:rsidRPr="00CC1034">
        <w:rPr>
          <w:rStyle w:val="st"/>
          <w:rFonts w:ascii="Calibri" w:eastAsia="Times New Roman" w:hAnsi="Calibri" w:cs="Times New Roman"/>
          <w:lang w:val="fr-BE"/>
        </w:rPr>
        <w:t>,</w:t>
      </w:r>
      <w:r w:rsidRPr="00CC1034">
        <w:rPr>
          <w:rStyle w:val="Emphasis"/>
          <w:rFonts w:ascii="Calibri" w:eastAsia="Times New Roman" w:hAnsi="Calibri" w:cs="Times New Roman"/>
          <w:i w:val="0"/>
          <w:lang w:val="fr-BE"/>
        </w:rPr>
        <w:t xml:space="preserve"> </w:t>
      </w:r>
      <w:r w:rsidR="00A54F7A" w:rsidRPr="00CC1034">
        <w:rPr>
          <w:rStyle w:val="Emphasis"/>
          <w:rFonts w:ascii="Calibri" w:eastAsia="Times New Roman" w:hAnsi="Calibri" w:cs="Times New Roman"/>
          <w:i w:val="0"/>
          <w:lang w:val="fr-BE"/>
        </w:rPr>
        <w:t>Droit</w:t>
      </w:r>
      <w:r w:rsidR="00A54F7A" w:rsidRPr="00CC1034">
        <w:rPr>
          <w:rStyle w:val="st"/>
          <w:rFonts w:ascii="Calibri" w:eastAsia="Times New Roman" w:hAnsi="Calibri" w:cs="Times New Roman"/>
          <w:lang w:val="fr-BE"/>
        </w:rPr>
        <w:t xml:space="preserve"> international et </w:t>
      </w:r>
      <w:r w:rsidR="00A54F7A" w:rsidRPr="00CC1034">
        <w:rPr>
          <w:rStyle w:val="Emphasis"/>
          <w:rFonts w:ascii="Calibri" w:eastAsia="Times New Roman" w:hAnsi="Calibri" w:cs="Times New Roman"/>
          <w:i w:val="0"/>
          <w:lang w:val="fr-BE"/>
        </w:rPr>
        <w:t>européen des société</w:t>
      </w:r>
      <w:r w:rsidR="00122239" w:rsidRPr="00CC1034">
        <w:rPr>
          <w:rStyle w:val="Emphasis"/>
          <w:rFonts w:ascii="Calibri" w:eastAsia="Times New Roman" w:hAnsi="Calibri" w:cs="Times New Roman"/>
          <w:i w:val="0"/>
          <w:lang w:val="fr-FR"/>
        </w:rPr>
        <w:t>s,</w:t>
      </w:r>
      <w:r w:rsidR="00A54F7A" w:rsidRPr="00CC1034">
        <w:rPr>
          <w:rStyle w:val="st"/>
          <w:rFonts w:ascii="Calibri" w:eastAsia="Times New Roman" w:hAnsi="Calibri" w:cs="Times New Roman"/>
          <w:lang w:val="fr-BE"/>
        </w:rPr>
        <w:t xml:space="preserve"> LGDJ</w:t>
      </w:r>
      <w:r w:rsidR="00C1521B" w:rsidRPr="00CC1034">
        <w:rPr>
          <w:rStyle w:val="st"/>
          <w:rFonts w:ascii="Calibri" w:eastAsia="Times New Roman" w:hAnsi="Calibri" w:cs="Times New Roman"/>
          <w:lang w:val="fr-BE"/>
        </w:rPr>
        <w:t>,</w:t>
      </w:r>
      <w:r w:rsidR="00A54F7A" w:rsidRPr="00CC1034">
        <w:rPr>
          <w:rStyle w:val="st"/>
          <w:rFonts w:ascii="Calibri" w:eastAsia="Times New Roman" w:hAnsi="Calibri" w:cs="Times New Roman"/>
          <w:lang w:val="fr-BE"/>
        </w:rPr>
        <w:t xml:space="preserve"> 2016</w:t>
      </w:r>
    </w:p>
    <w:p w14:paraId="7306BBC6" w14:textId="77777777" w:rsidR="00000C99" w:rsidRPr="00CC1034" w:rsidRDefault="00000C99" w:rsidP="00C82F24">
      <w:pPr>
        <w:pStyle w:val="Heading2"/>
        <w:rPr>
          <w:rFonts w:ascii="Calibri" w:hAnsi="Calibri"/>
          <w:color w:val="auto"/>
          <w:sz w:val="24"/>
          <w:szCs w:val="24"/>
          <w:lang w:val="fr-BE"/>
        </w:rPr>
      </w:pPr>
    </w:p>
    <w:p w14:paraId="581FEF6C" w14:textId="6806B1C0" w:rsidR="00C82F24" w:rsidRPr="00CC1034" w:rsidRDefault="00C82F24" w:rsidP="00C82F24">
      <w:pPr>
        <w:pStyle w:val="Heading2"/>
        <w:rPr>
          <w:rFonts w:ascii="Calibri" w:hAnsi="Calibri"/>
          <w:color w:val="auto"/>
          <w:sz w:val="24"/>
          <w:szCs w:val="24"/>
          <w:lang w:val="el-GR"/>
        </w:rPr>
      </w:pPr>
      <w:r w:rsidRPr="00CC1034">
        <w:rPr>
          <w:rFonts w:ascii="Calibri" w:hAnsi="Calibri"/>
          <w:color w:val="auto"/>
          <w:sz w:val="24"/>
          <w:szCs w:val="24"/>
          <w:lang w:val="el-GR"/>
        </w:rPr>
        <w:t>Ενωσιακό δίκαιο προστασίας του καταναλωτή</w:t>
      </w:r>
    </w:p>
    <w:p w14:paraId="3A71CD77" w14:textId="77777777" w:rsidR="00C82F24" w:rsidRPr="00CC1034" w:rsidRDefault="00C82F24" w:rsidP="00C82F24">
      <w:pPr>
        <w:rPr>
          <w:rFonts w:ascii="Calibri" w:hAnsi="Calibri" w:cstheme="majorHAnsi"/>
          <w:i/>
          <w:lang w:val="el-GR"/>
        </w:rPr>
      </w:pPr>
    </w:p>
    <w:p w14:paraId="1DC5AC7E" w14:textId="77777777" w:rsidR="00C82F24" w:rsidRPr="00CC1034" w:rsidRDefault="00C82F24" w:rsidP="00C82F24">
      <w:pPr>
        <w:rPr>
          <w:rFonts w:ascii="Calibri" w:hAnsi="Calibri" w:cstheme="majorHAnsi"/>
          <w:i/>
          <w:lang w:val="el-GR"/>
        </w:rPr>
      </w:pPr>
      <w:r w:rsidRPr="00CC1034">
        <w:rPr>
          <w:rFonts w:ascii="Calibri" w:hAnsi="Calibri" w:cstheme="majorHAnsi"/>
          <w:i/>
          <w:lang w:val="el-GR"/>
        </w:rPr>
        <w:t>Ελληνόγλωσση</w:t>
      </w:r>
    </w:p>
    <w:p w14:paraId="459D4DED" w14:textId="2E344264" w:rsidR="00C1521B" w:rsidRPr="00D54584" w:rsidRDefault="00C1521B" w:rsidP="00C1521B">
      <w:pPr>
        <w:spacing w:before="120"/>
        <w:jc w:val="both"/>
        <w:rPr>
          <w:rFonts w:asciiTheme="majorHAnsi" w:hAnsiTheme="majorHAnsi" w:cstheme="majorHAnsi"/>
          <w:lang w:val="el-GR"/>
        </w:rPr>
      </w:pPr>
      <w:r w:rsidRPr="00793F80">
        <w:rPr>
          <w:rStyle w:val="st"/>
          <w:rFonts w:ascii="Calibri" w:eastAsia="Times New Roman" w:hAnsi="Calibri" w:cs="Times New Roman"/>
          <w:smallCaps/>
          <w:lang w:val="el-GR"/>
        </w:rPr>
        <w:t>Ε. Αλεξανδρίδου</w:t>
      </w:r>
      <w:r w:rsidRPr="00CC1034">
        <w:rPr>
          <w:lang w:val="el-GR"/>
        </w:rPr>
        <w:t xml:space="preserve">, </w:t>
      </w:r>
      <w:r w:rsidRPr="00CC1034">
        <w:rPr>
          <w:rFonts w:ascii="Calibri" w:hAnsi="Calibri" w:cs="Calibri"/>
          <w:lang w:val="el-GR"/>
        </w:rPr>
        <w:t xml:space="preserve">Δίκαιο προστασίας καταναλωτή, </w:t>
      </w:r>
      <w:r w:rsidRPr="00D54584">
        <w:rPr>
          <w:rFonts w:asciiTheme="majorHAnsi" w:hAnsiTheme="majorHAnsi" w:cstheme="majorHAnsi"/>
          <w:lang w:val="el-GR"/>
        </w:rPr>
        <w:t>Ελληνικό – Ενωσιακό, 2η εκδ., Νομική Βιβλιοθήκη</w:t>
      </w:r>
      <w:r w:rsidR="00D54584">
        <w:rPr>
          <w:rFonts w:asciiTheme="majorHAnsi" w:hAnsiTheme="majorHAnsi" w:cstheme="majorHAnsi"/>
          <w:lang w:val="el-GR"/>
        </w:rPr>
        <w:t>,</w:t>
      </w:r>
      <w:r w:rsidRPr="00D54584">
        <w:rPr>
          <w:rFonts w:asciiTheme="majorHAnsi" w:hAnsiTheme="majorHAnsi" w:cstheme="majorHAnsi"/>
          <w:lang w:val="el-GR"/>
        </w:rPr>
        <w:t xml:space="preserve"> 2015 </w:t>
      </w:r>
    </w:p>
    <w:p w14:paraId="3190B1A8" w14:textId="2716B3D1" w:rsidR="00E256E3" w:rsidRPr="00CC1034" w:rsidRDefault="00122239" w:rsidP="00C1521B">
      <w:pPr>
        <w:rPr>
          <w:rStyle w:val="st"/>
          <w:rFonts w:ascii="Calibri" w:eastAsia="Times New Roman" w:hAnsi="Calibri" w:cs="Times New Roman"/>
          <w:lang w:val="el-GR"/>
        </w:rPr>
      </w:pPr>
      <w:r w:rsidRPr="00793F80">
        <w:rPr>
          <w:rStyle w:val="st"/>
          <w:rFonts w:ascii="Calibri" w:eastAsia="Times New Roman" w:hAnsi="Calibri" w:cs="Times New Roman"/>
          <w:smallCaps/>
          <w:lang w:val="el-GR"/>
        </w:rPr>
        <w:t>Ε. Αλεξανδρίδου</w:t>
      </w:r>
      <w:r w:rsidRPr="00CC1034">
        <w:rPr>
          <w:rStyle w:val="st"/>
          <w:rFonts w:ascii="Calibri" w:eastAsia="Times New Roman" w:hAnsi="Calibri" w:cs="Times New Roman"/>
          <w:lang w:val="el-GR"/>
        </w:rPr>
        <w:t xml:space="preserve">, </w:t>
      </w:r>
      <w:r w:rsidR="00E256E3" w:rsidRPr="00CC1034">
        <w:rPr>
          <w:rStyle w:val="st"/>
          <w:rFonts w:ascii="Calibri" w:eastAsia="Times New Roman" w:hAnsi="Calibri" w:cs="Times New Roman"/>
          <w:lang w:val="el-GR"/>
        </w:rPr>
        <w:t>Το δίκαιο του ηλεκτρονικού εμπορίου, εκδ. Σάκκουλα, 2010</w:t>
      </w:r>
    </w:p>
    <w:p w14:paraId="3AE41736" w14:textId="2D176DDD" w:rsidR="00C82F24" w:rsidRPr="00CC1034" w:rsidRDefault="00E10676" w:rsidP="00D54584">
      <w:pPr>
        <w:jc w:val="both"/>
        <w:rPr>
          <w:rStyle w:val="st"/>
          <w:rFonts w:ascii="Calibri" w:eastAsia="Times New Roman" w:hAnsi="Calibri" w:cs="Times New Roman"/>
          <w:lang w:val="el-GR"/>
        </w:rPr>
      </w:pPr>
      <w:r w:rsidRPr="00793F80">
        <w:rPr>
          <w:rStyle w:val="st"/>
          <w:rFonts w:ascii="Calibri" w:eastAsia="Times New Roman" w:hAnsi="Calibri" w:cs="Times New Roman"/>
          <w:smallCaps/>
          <w:lang w:val="el-GR"/>
        </w:rPr>
        <w:t>Π.</w:t>
      </w:r>
      <w:r w:rsidR="00E256E3" w:rsidRPr="00793F80">
        <w:rPr>
          <w:rStyle w:val="st"/>
          <w:rFonts w:ascii="Calibri" w:eastAsia="Times New Roman" w:hAnsi="Calibri" w:cs="Times New Roman"/>
          <w:smallCaps/>
          <w:lang w:val="el-GR"/>
        </w:rPr>
        <w:t xml:space="preserve"> </w:t>
      </w:r>
      <w:r w:rsidR="00E256E3" w:rsidRPr="00793F80">
        <w:rPr>
          <w:rStyle w:val="Emphasis"/>
          <w:rFonts w:ascii="Calibri" w:eastAsia="Times New Roman" w:hAnsi="Calibri" w:cs="Times New Roman"/>
          <w:i w:val="0"/>
          <w:smallCaps/>
          <w:lang w:val="el-GR"/>
        </w:rPr>
        <w:t>Καλαμπούκα</w:t>
      </w:r>
      <w:r w:rsidR="00E256E3" w:rsidRPr="00793F80">
        <w:rPr>
          <w:rStyle w:val="st"/>
          <w:rFonts w:ascii="Calibri" w:eastAsia="Times New Roman" w:hAnsi="Calibri" w:cs="Times New Roman"/>
          <w:i/>
          <w:smallCaps/>
          <w:lang w:val="el-GR"/>
        </w:rPr>
        <w:t xml:space="preserve"> </w:t>
      </w:r>
      <w:r w:rsidR="00122239" w:rsidRPr="00793F80">
        <w:rPr>
          <w:rStyle w:val="st"/>
          <w:rFonts w:ascii="Calibri" w:eastAsia="Times New Roman" w:hAnsi="Calibri" w:cs="Times New Roman"/>
          <w:i/>
          <w:smallCaps/>
          <w:lang w:val="el-GR"/>
        </w:rPr>
        <w:t>–</w:t>
      </w:r>
      <w:r w:rsidR="00E256E3" w:rsidRPr="00793F80">
        <w:rPr>
          <w:rStyle w:val="st"/>
          <w:rFonts w:ascii="Calibri" w:eastAsia="Times New Roman" w:hAnsi="Calibri" w:cs="Times New Roman"/>
          <w:i/>
          <w:smallCaps/>
          <w:lang w:val="el-GR"/>
        </w:rPr>
        <w:t xml:space="preserve"> </w:t>
      </w:r>
      <w:r w:rsidR="00E256E3" w:rsidRPr="00793F80">
        <w:rPr>
          <w:rStyle w:val="Emphasis"/>
          <w:rFonts w:ascii="Calibri" w:eastAsia="Times New Roman" w:hAnsi="Calibri" w:cs="Times New Roman"/>
          <w:i w:val="0"/>
          <w:smallCaps/>
          <w:lang w:val="el-GR"/>
        </w:rPr>
        <w:t>Γιαννοπούλου</w:t>
      </w:r>
      <w:r w:rsidR="00122239" w:rsidRPr="00CC1034">
        <w:rPr>
          <w:rStyle w:val="st"/>
          <w:rFonts w:ascii="Calibri" w:eastAsia="Times New Roman" w:hAnsi="Calibri" w:cs="Times New Roman"/>
          <w:lang w:val="el-GR"/>
        </w:rPr>
        <w:t xml:space="preserve">, </w:t>
      </w:r>
      <w:r w:rsidR="00E256E3" w:rsidRPr="00CC1034">
        <w:rPr>
          <w:rStyle w:val="st"/>
          <w:rFonts w:ascii="Calibri" w:eastAsia="Times New Roman" w:hAnsi="Calibri" w:cs="Times New Roman"/>
          <w:lang w:val="el-GR"/>
        </w:rPr>
        <w:t>Δίκαιο Συναλλαγών, Ειδικά θέματα, Νομική Βιβλιοθήκη, 2013</w:t>
      </w:r>
    </w:p>
    <w:p w14:paraId="750F47AF" w14:textId="60AE6348" w:rsidR="00096A09" w:rsidRPr="00CC1034" w:rsidRDefault="00096A09" w:rsidP="00C82F24">
      <w:pPr>
        <w:rPr>
          <w:rFonts w:ascii="Calibri" w:hAnsi="Calibri" w:cstheme="majorHAnsi"/>
          <w:i/>
          <w:lang w:val="el-GR"/>
        </w:rPr>
      </w:pPr>
      <w:r w:rsidRPr="00793F80">
        <w:rPr>
          <w:rStyle w:val="st"/>
          <w:rFonts w:ascii="Calibri" w:eastAsia="Times New Roman" w:hAnsi="Calibri" w:cs="Times New Roman"/>
          <w:smallCaps/>
          <w:lang w:val="el-GR"/>
        </w:rPr>
        <w:t>Ι. Καράκωστας</w:t>
      </w:r>
      <w:r w:rsidRPr="00CC1034">
        <w:rPr>
          <w:rStyle w:val="st"/>
          <w:rFonts w:ascii="Calibri" w:eastAsia="Times New Roman" w:hAnsi="Calibri" w:cs="Times New Roman"/>
          <w:lang w:val="el-GR"/>
        </w:rPr>
        <w:t>, Δίκαιο Προστασίας Κατανα</w:t>
      </w:r>
      <w:r w:rsidR="00122239" w:rsidRPr="00CC1034">
        <w:rPr>
          <w:rStyle w:val="st"/>
          <w:rFonts w:ascii="Calibri" w:eastAsia="Times New Roman" w:hAnsi="Calibri" w:cs="Times New Roman"/>
          <w:lang w:val="el-GR"/>
        </w:rPr>
        <w:t>λωτή,</w:t>
      </w:r>
      <w:r w:rsidR="00C1521B" w:rsidRPr="00CC1034">
        <w:rPr>
          <w:rStyle w:val="st"/>
          <w:rFonts w:ascii="Calibri" w:eastAsia="Times New Roman" w:hAnsi="Calibri" w:cs="Times New Roman"/>
          <w:lang w:val="el-GR"/>
        </w:rPr>
        <w:t xml:space="preserve"> 3</w:t>
      </w:r>
      <w:r w:rsidR="00C1521B" w:rsidRPr="00CC1034">
        <w:rPr>
          <w:rStyle w:val="st"/>
          <w:rFonts w:ascii="Calibri" w:eastAsia="Times New Roman" w:hAnsi="Calibri" w:cs="Times New Roman"/>
          <w:vertAlign w:val="superscript"/>
          <w:lang w:val="el-GR"/>
        </w:rPr>
        <w:t>η</w:t>
      </w:r>
      <w:r w:rsidR="00C1521B" w:rsidRPr="00CC1034">
        <w:rPr>
          <w:rStyle w:val="st"/>
          <w:rFonts w:ascii="Calibri" w:eastAsia="Times New Roman" w:hAnsi="Calibri" w:cs="Times New Roman"/>
          <w:lang w:val="el-GR"/>
        </w:rPr>
        <w:t xml:space="preserve"> εκδ., Νομική Βιβλιοθήκη, 2016</w:t>
      </w:r>
    </w:p>
    <w:p w14:paraId="0039B201" w14:textId="77777777" w:rsidR="00E256E3" w:rsidRPr="00CC1034" w:rsidRDefault="00E256E3" w:rsidP="00C82F24">
      <w:pPr>
        <w:rPr>
          <w:rFonts w:ascii="Calibri" w:hAnsi="Calibri" w:cstheme="majorHAnsi"/>
          <w:i/>
          <w:lang w:val="el-GR"/>
        </w:rPr>
      </w:pPr>
    </w:p>
    <w:p w14:paraId="43771BAA" w14:textId="77777777" w:rsidR="00C82F24" w:rsidRPr="0024391C" w:rsidRDefault="00C82F24" w:rsidP="00C82F24">
      <w:pPr>
        <w:rPr>
          <w:rFonts w:ascii="Calibri" w:hAnsi="Calibri" w:cstheme="majorHAnsi"/>
          <w:i/>
          <w:lang w:val="fr-BE"/>
        </w:rPr>
      </w:pPr>
      <w:r w:rsidRPr="00CC1034">
        <w:rPr>
          <w:rFonts w:ascii="Calibri" w:hAnsi="Calibri" w:cstheme="majorHAnsi"/>
          <w:i/>
          <w:lang w:val="el-GR"/>
        </w:rPr>
        <w:t>Ξενόγλωσση</w:t>
      </w:r>
    </w:p>
    <w:p w14:paraId="374DBC6A" w14:textId="161F3552" w:rsidR="00000C99" w:rsidRPr="0024391C" w:rsidRDefault="00C1521B" w:rsidP="00C1521B">
      <w:pPr>
        <w:spacing w:before="120"/>
        <w:rPr>
          <w:rStyle w:val="a-size-small"/>
          <w:rFonts w:ascii="Calibri" w:eastAsia="Times New Roman" w:hAnsi="Calibri" w:cs="Times New Roman"/>
          <w:lang w:val="fr-BE"/>
        </w:rPr>
      </w:pPr>
      <w:r w:rsidRPr="00D54584">
        <w:rPr>
          <w:rStyle w:val="a-size-small"/>
          <w:rFonts w:ascii="Calibri" w:eastAsia="Times New Roman" w:hAnsi="Calibri" w:cs="Times New Roman"/>
          <w:smallCaps/>
          <w:lang w:val="fr-BE"/>
        </w:rPr>
        <w:t>J</w:t>
      </w:r>
      <w:r w:rsidRPr="0024391C">
        <w:rPr>
          <w:rStyle w:val="a-size-small"/>
          <w:rFonts w:ascii="Calibri" w:eastAsia="Times New Roman" w:hAnsi="Calibri" w:cs="Times New Roman"/>
          <w:smallCaps/>
          <w:lang w:val="fr-BE"/>
        </w:rPr>
        <w:t xml:space="preserve">. </w:t>
      </w:r>
      <w:r w:rsidRPr="00D54584">
        <w:rPr>
          <w:rStyle w:val="a-size-small"/>
          <w:rFonts w:ascii="Calibri" w:eastAsia="Times New Roman" w:hAnsi="Calibri" w:cs="Times New Roman"/>
          <w:smallCaps/>
          <w:lang w:val="fr-BE"/>
        </w:rPr>
        <w:t>Calais</w:t>
      </w:r>
      <w:r w:rsidRPr="0024391C">
        <w:rPr>
          <w:rStyle w:val="a-size-small"/>
          <w:rFonts w:ascii="Calibri" w:eastAsia="Times New Roman" w:hAnsi="Calibri" w:cs="Times New Roman"/>
          <w:smallCaps/>
          <w:lang w:val="fr-BE"/>
        </w:rPr>
        <w:t>-</w:t>
      </w:r>
      <w:r w:rsidRPr="00D54584">
        <w:rPr>
          <w:rStyle w:val="a-size-small"/>
          <w:rFonts w:ascii="Calibri" w:eastAsia="Times New Roman" w:hAnsi="Calibri" w:cs="Times New Roman"/>
          <w:smallCaps/>
          <w:lang w:val="fr-BE"/>
        </w:rPr>
        <w:t>Auloy</w:t>
      </w:r>
      <w:r w:rsidRPr="0024391C">
        <w:rPr>
          <w:rStyle w:val="a-size-small"/>
          <w:rFonts w:ascii="Calibri" w:eastAsia="Times New Roman" w:hAnsi="Calibri" w:cs="Times New Roman"/>
          <w:lang w:val="fr-BE"/>
        </w:rPr>
        <w:t>,</w:t>
      </w:r>
      <w:r w:rsidRPr="0024391C">
        <w:rPr>
          <w:rStyle w:val="a-label"/>
          <w:rFonts w:ascii="Calibri" w:eastAsia="Times New Roman" w:hAnsi="Calibri" w:cs="Times New Roman"/>
          <w:lang w:val="fr-BE"/>
        </w:rPr>
        <w:t xml:space="preserve"> </w:t>
      </w:r>
      <w:r w:rsidRPr="00CC1034">
        <w:rPr>
          <w:rStyle w:val="a-label"/>
          <w:rFonts w:ascii="Calibri" w:eastAsia="Times New Roman" w:hAnsi="Calibri" w:cs="Times New Roman"/>
          <w:lang w:val="fr-BE"/>
        </w:rPr>
        <w:t>Droit</w:t>
      </w:r>
      <w:r w:rsidRPr="0024391C">
        <w:rPr>
          <w:rStyle w:val="a-label"/>
          <w:rFonts w:ascii="Calibri" w:eastAsia="Times New Roman" w:hAnsi="Calibri" w:cs="Times New Roman"/>
          <w:lang w:val="fr-BE"/>
        </w:rPr>
        <w:t xml:space="preserve"> </w:t>
      </w:r>
      <w:r w:rsidRPr="00CC1034">
        <w:rPr>
          <w:rStyle w:val="a-label"/>
          <w:rFonts w:ascii="Calibri" w:eastAsia="Times New Roman" w:hAnsi="Calibri" w:cs="Times New Roman"/>
          <w:lang w:val="fr-BE"/>
        </w:rPr>
        <w:t>de</w:t>
      </w:r>
      <w:r w:rsidRPr="0024391C">
        <w:rPr>
          <w:rStyle w:val="a-label"/>
          <w:rFonts w:ascii="Calibri" w:eastAsia="Times New Roman" w:hAnsi="Calibri" w:cs="Times New Roman"/>
          <w:lang w:val="fr-BE"/>
        </w:rPr>
        <w:t xml:space="preserve"> </w:t>
      </w:r>
      <w:r w:rsidRPr="00CC1034">
        <w:rPr>
          <w:rStyle w:val="a-label"/>
          <w:rFonts w:ascii="Calibri" w:eastAsia="Times New Roman" w:hAnsi="Calibri" w:cs="Times New Roman"/>
          <w:lang w:val="fr-BE"/>
        </w:rPr>
        <w:t>la</w:t>
      </w:r>
      <w:r w:rsidRPr="0024391C">
        <w:rPr>
          <w:rStyle w:val="a-label"/>
          <w:rFonts w:ascii="Calibri" w:eastAsia="Times New Roman" w:hAnsi="Calibri" w:cs="Times New Roman"/>
          <w:lang w:val="fr-BE"/>
        </w:rPr>
        <w:t xml:space="preserve"> </w:t>
      </w:r>
      <w:r w:rsidRPr="00CC1034">
        <w:rPr>
          <w:rStyle w:val="a-label"/>
          <w:rFonts w:ascii="Calibri" w:eastAsia="Times New Roman" w:hAnsi="Calibri" w:cs="Times New Roman"/>
          <w:lang w:val="fr-BE"/>
        </w:rPr>
        <w:t>consommation</w:t>
      </w:r>
      <w:r w:rsidRPr="0024391C">
        <w:rPr>
          <w:rStyle w:val="a-label"/>
          <w:rFonts w:ascii="Calibri" w:eastAsia="Times New Roman" w:hAnsi="Calibri" w:cs="Times New Roman"/>
          <w:lang w:val="fr-BE"/>
        </w:rPr>
        <w:t>,</w:t>
      </w:r>
      <w:r w:rsidR="00000C99" w:rsidRPr="0024391C">
        <w:rPr>
          <w:rStyle w:val="a-label"/>
          <w:rFonts w:ascii="Calibri" w:eastAsia="Times New Roman" w:hAnsi="Calibri" w:cs="Times New Roman"/>
          <w:lang w:val="fr-BE"/>
        </w:rPr>
        <w:t xml:space="preserve"> 9</w:t>
      </w:r>
      <w:r w:rsidR="00000C99" w:rsidRPr="00CC1034">
        <w:rPr>
          <w:rStyle w:val="a-label"/>
          <w:rFonts w:ascii="Calibri" w:eastAsia="Times New Roman" w:hAnsi="Calibri" w:cs="Times New Roman"/>
          <w:lang w:val="fr-BE"/>
        </w:rPr>
        <w:t>e</w:t>
      </w:r>
      <w:r w:rsidR="00000C99" w:rsidRPr="0024391C">
        <w:rPr>
          <w:rStyle w:val="a-label"/>
          <w:rFonts w:ascii="Calibri" w:eastAsia="Times New Roman" w:hAnsi="Calibri" w:cs="Times New Roman"/>
          <w:lang w:val="fr-BE"/>
        </w:rPr>
        <w:t xml:space="preserve"> é</w:t>
      </w:r>
      <w:r w:rsidR="00000C99" w:rsidRPr="00CC1034">
        <w:rPr>
          <w:rStyle w:val="a-label"/>
          <w:rFonts w:ascii="Calibri" w:eastAsia="Times New Roman" w:hAnsi="Calibri" w:cs="Times New Roman"/>
          <w:lang w:val="fr-BE"/>
        </w:rPr>
        <w:t>d</w:t>
      </w:r>
      <w:r w:rsidR="00000C99" w:rsidRPr="0024391C">
        <w:rPr>
          <w:rStyle w:val="a-label"/>
          <w:rFonts w:ascii="Calibri" w:eastAsia="Times New Roman" w:hAnsi="Calibri" w:cs="Times New Roman"/>
          <w:lang w:val="fr-BE"/>
        </w:rPr>
        <w:t>.</w:t>
      </w:r>
      <w:r w:rsidR="00000C99" w:rsidRPr="0024391C">
        <w:rPr>
          <w:rStyle w:val="a-size-small"/>
          <w:rFonts w:ascii="Calibri" w:eastAsia="Times New Roman" w:hAnsi="Calibri" w:cs="Times New Roman"/>
          <w:lang w:val="fr-BE"/>
        </w:rPr>
        <w:t xml:space="preserve">, </w:t>
      </w:r>
      <w:r w:rsidR="00000C99" w:rsidRPr="00CC1034">
        <w:rPr>
          <w:rStyle w:val="a-size-small"/>
          <w:rFonts w:ascii="Calibri" w:eastAsia="Times New Roman" w:hAnsi="Calibri" w:cs="Times New Roman"/>
          <w:lang w:val="fr-BE"/>
        </w:rPr>
        <w:t>Dalloz</w:t>
      </w:r>
      <w:r w:rsidRPr="0024391C">
        <w:rPr>
          <w:rStyle w:val="a-size-small"/>
          <w:rFonts w:ascii="Calibri" w:eastAsia="Times New Roman" w:hAnsi="Calibri" w:cs="Times New Roman"/>
          <w:lang w:val="fr-BE"/>
        </w:rPr>
        <w:t>,</w:t>
      </w:r>
      <w:r w:rsidR="00000C99" w:rsidRPr="0024391C">
        <w:rPr>
          <w:rStyle w:val="a-size-small"/>
          <w:rFonts w:ascii="Calibri" w:eastAsia="Times New Roman" w:hAnsi="Calibri" w:cs="Times New Roman"/>
          <w:lang w:val="fr-BE"/>
        </w:rPr>
        <w:t xml:space="preserve"> 2015</w:t>
      </w:r>
    </w:p>
    <w:p w14:paraId="036318FF" w14:textId="76865980" w:rsidR="008A7A7B" w:rsidRPr="00CC1034" w:rsidRDefault="00E10676" w:rsidP="00C1521B">
      <w:pPr>
        <w:jc w:val="both"/>
        <w:rPr>
          <w:rStyle w:val="st"/>
          <w:rFonts w:ascii="Calibri" w:eastAsia="Times New Roman" w:hAnsi="Calibri" w:cs="Times New Roman"/>
        </w:rPr>
      </w:pPr>
      <w:r w:rsidRPr="00D54584">
        <w:rPr>
          <w:rStyle w:val="st"/>
          <w:rFonts w:ascii="Calibri" w:eastAsia="Times New Roman" w:hAnsi="Calibri" w:cs="Times New Roman"/>
          <w:smallCaps/>
        </w:rPr>
        <w:t>F</w:t>
      </w:r>
      <w:r w:rsidRPr="0024391C">
        <w:rPr>
          <w:rStyle w:val="st"/>
          <w:rFonts w:ascii="Calibri" w:eastAsia="Times New Roman" w:hAnsi="Calibri" w:cs="Times New Roman"/>
          <w:smallCaps/>
          <w:lang w:val="en-GB"/>
        </w:rPr>
        <w:t>.</w:t>
      </w:r>
      <w:r w:rsidRPr="0024391C">
        <w:rPr>
          <w:rStyle w:val="Emphasis"/>
          <w:rFonts w:ascii="Calibri" w:eastAsia="Times New Roman" w:hAnsi="Calibri" w:cs="Times New Roman"/>
          <w:i w:val="0"/>
          <w:smallCaps/>
          <w:lang w:val="en-GB"/>
        </w:rPr>
        <w:t xml:space="preserve"> </w:t>
      </w:r>
      <w:r w:rsidR="008A7A7B" w:rsidRPr="00D54584">
        <w:rPr>
          <w:rStyle w:val="Emphasis"/>
          <w:rFonts w:ascii="Calibri" w:eastAsia="Times New Roman" w:hAnsi="Calibri" w:cs="Times New Roman"/>
          <w:i w:val="0"/>
          <w:smallCaps/>
        </w:rPr>
        <w:t>Cafaggi</w:t>
      </w:r>
      <w:r w:rsidR="008A7A7B" w:rsidRPr="0024391C">
        <w:rPr>
          <w:rStyle w:val="st"/>
          <w:rFonts w:ascii="Calibri" w:eastAsia="Times New Roman" w:hAnsi="Calibri" w:cs="Times New Roman"/>
          <w:i/>
          <w:smallCaps/>
          <w:lang w:val="en-GB"/>
        </w:rPr>
        <w:t>,</w:t>
      </w:r>
      <w:r w:rsidRPr="0024391C">
        <w:rPr>
          <w:rStyle w:val="st"/>
          <w:rFonts w:ascii="Calibri" w:eastAsia="Times New Roman" w:hAnsi="Calibri" w:cs="Times New Roman"/>
          <w:smallCaps/>
          <w:lang w:val="en-GB"/>
        </w:rPr>
        <w:t xml:space="preserve"> </w:t>
      </w:r>
      <w:r w:rsidRPr="00D54584">
        <w:rPr>
          <w:rStyle w:val="st"/>
          <w:rFonts w:ascii="Calibri" w:eastAsia="Times New Roman" w:hAnsi="Calibri" w:cs="Times New Roman"/>
          <w:smallCaps/>
        </w:rPr>
        <w:t>H</w:t>
      </w:r>
      <w:r w:rsidRPr="0024391C">
        <w:rPr>
          <w:rStyle w:val="st"/>
          <w:rFonts w:ascii="Calibri" w:eastAsia="Times New Roman" w:hAnsi="Calibri" w:cs="Times New Roman"/>
          <w:smallCaps/>
          <w:lang w:val="en-GB"/>
        </w:rPr>
        <w:t>.-</w:t>
      </w:r>
      <w:r w:rsidRPr="00D54584">
        <w:rPr>
          <w:rStyle w:val="st"/>
          <w:rFonts w:ascii="Calibri" w:eastAsia="Times New Roman" w:hAnsi="Calibri" w:cs="Times New Roman"/>
          <w:smallCaps/>
        </w:rPr>
        <w:t>W</w:t>
      </w:r>
      <w:r w:rsidRPr="0024391C">
        <w:rPr>
          <w:rStyle w:val="st"/>
          <w:rFonts w:ascii="Calibri" w:eastAsia="Times New Roman" w:hAnsi="Calibri" w:cs="Times New Roman"/>
          <w:smallCaps/>
          <w:lang w:val="en-GB"/>
        </w:rPr>
        <w:t xml:space="preserve">. </w:t>
      </w:r>
      <w:r w:rsidR="008A7A7B" w:rsidRPr="00D54584">
        <w:rPr>
          <w:rStyle w:val="Emphasis"/>
          <w:rFonts w:ascii="Calibri" w:eastAsia="Times New Roman" w:hAnsi="Calibri" w:cs="Times New Roman"/>
          <w:i w:val="0"/>
          <w:smallCaps/>
        </w:rPr>
        <w:t>Micklitz</w:t>
      </w:r>
      <w:r w:rsidR="008A7A7B" w:rsidRPr="0024391C">
        <w:rPr>
          <w:rStyle w:val="st"/>
          <w:rFonts w:ascii="Calibri" w:eastAsia="Times New Roman" w:hAnsi="Calibri" w:cs="Times New Roman"/>
          <w:i/>
          <w:lang w:val="en-GB"/>
        </w:rPr>
        <w:t>,</w:t>
      </w:r>
      <w:r w:rsidR="008A7A7B" w:rsidRPr="0024391C">
        <w:rPr>
          <w:rStyle w:val="st"/>
          <w:rFonts w:ascii="Calibri" w:eastAsia="Times New Roman" w:hAnsi="Calibri" w:cs="Times New Roman"/>
          <w:lang w:val="en-GB"/>
        </w:rPr>
        <w:t xml:space="preserve"> </w:t>
      </w:r>
      <w:r w:rsidR="008A7A7B" w:rsidRPr="00CC1034">
        <w:rPr>
          <w:rStyle w:val="st"/>
          <w:rFonts w:ascii="Calibri" w:eastAsia="Times New Roman" w:hAnsi="Calibri" w:cs="Times New Roman"/>
        </w:rPr>
        <w:t>New</w:t>
      </w:r>
      <w:r w:rsidR="008A7A7B" w:rsidRPr="0024391C">
        <w:rPr>
          <w:rStyle w:val="st"/>
          <w:rFonts w:ascii="Calibri" w:eastAsia="Times New Roman" w:hAnsi="Calibri" w:cs="Times New Roman"/>
          <w:lang w:val="en-GB"/>
        </w:rPr>
        <w:t xml:space="preserve"> </w:t>
      </w:r>
      <w:r w:rsidR="008A7A7B" w:rsidRPr="00CC1034">
        <w:rPr>
          <w:rStyle w:val="st"/>
          <w:rFonts w:ascii="Calibri" w:eastAsia="Times New Roman" w:hAnsi="Calibri" w:cs="Times New Roman"/>
        </w:rPr>
        <w:t>Frontiers</w:t>
      </w:r>
      <w:r w:rsidR="008A7A7B" w:rsidRPr="0024391C">
        <w:rPr>
          <w:rStyle w:val="st"/>
          <w:rFonts w:ascii="Calibri" w:eastAsia="Times New Roman" w:hAnsi="Calibri" w:cs="Times New Roman"/>
          <w:lang w:val="en-GB"/>
        </w:rPr>
        <w:t xml:space="preserve"> </w:t>
      </w:r>
      <w:r w:rsidR="008A7A7B" w:rsidRPr="00CC1034">
        <w:rPr>
          <w:rStyle w:val="st"/>
          <w:rFonts w:ascii="Calibri" w:eastAsia="Times New Roman" w:hAnsi="Calibri" w:cs="Times New Roman"/>
        </w:rPr>
        <w:t>of</w:t>
      </w:r>
      <w:r w:rsidR="008A7A7B" w:rsidRPr="0024391C">
        <w:rPr>
          <w:rStyle w:val="st"/>
          <w:rFonts w:ascii="Calibri" w:eastAsia="Times New Roman" w:hAnsi="Calibri" w:cs="Times New Roman"/>
          <w:lang w:val="en-GB"/>
        </w:rPr>
        <w:t xml:space="preserve"> </w:t>
      </w:r>
      <w:r w:rsidR="008A7A7B" w:rsidRPr="00CC1034">
        <w:rPr>
          <w:rStyle w:val="st"/>
          <w:rFonts w:ascii="Calibri" w:eastAsia="Times New Roman" w:hAnsi="Calibri" w:cs="Times New Roman"/>
        </w:rPr>
        <w:t xml:space="preserve">Consumer Protection: The Interplay between </w:t>
      </w:r>
      <w:r w:rsidR="00FA7178" w:rsidRPr="00CC1034">
        <w:rPr>
          <w:rStyle w:val="st"/>
          <w:rFonts w:ascii="Calibri" w:eastAsia="Times New Roman" w:hAnsi="Calibri" w:cs="Times New Roman"/>
        </w:rPr>
        <w:t>P</w:t>
      </w:r>
      <w:r w:rsidR="008A7A7B" w:rsidRPr="00CC1034">
        <w:rPr>
          <w:rStyle w:val="st"/>
          <w:rFonts w:ascii="Calibri" w:eastAsia="Times New Roman" w:hAnsi="Calibri" w:cs="Times New Roman"/>
        </w:rPr>
        <w:t>rivate and Public En</w:t>
      </w:r>
      <w:r w:rsidRPr="00CC1034">
        <w:rPr>
          <w:rStyle w:val="st"/>
          <w:rFonts w:ascii="Calibri" w:eastAsia="Times New Roman" w:hAnsi="Calibri" w:cs="Times New Roman"/>
        </w:rPr>
        <w:t>forcement. Mortsel: Intersentia, 2009</w:t>
      </w:r>
    </w:p>
    <w:p w14:paraId="31BED657" w14:textId="7BF53F21" w:rsidR="008A7A7B" w:rsidRPr="00D54584" w:rsidRDefault="008A7A7B" w:rsidP="00CC59AE">
      <w:pPr>
        <w:rPr>
          <w:rStyle w:val="st"/>
          <w:rFonts w:ascii="Calibri" w:eastAsia="Times New Roman" w:hAnsi="Calibri" w:cs="Times New Roman"/>
        </w:rPr>
      </w:pPr>
      <w:r w:rsidRPr="00D54584">
        <w:rPr>
          <w:rStyle w:val="st"/>
          <w:rFonts w:ascii="Calibri" w:eastAsia="Times New Roman" w:hAnsi="Calibri" w:cs="Times New Roman"/>
          <w:smallCaps/>
        </w:rPr>
        <w:t>European Parliament</w:t>
      </w:r>
      <w:r w:rsidRPr="00CC1034">
        <w:rPr>
          <w:rStyle w:val="st"/>
          <w:rFonts w:ascii="Calibri" w:eastAsia="Times New Roman" w:hAnsi="Calibri" w:cs="Times New Roman"/>
        </w:rPr>
        <w:t>, Consumer Protection in the EU, Policy overview, 2015</w:t>
      </w:r>
      <w:r w:rsidR="00D54584" w:rsidRPr="00D54584">
        <w:rPr>
          <w:rStyle w:val="st"/>
          <w:rFonts w:ascii="Calibri" w:eastAsia="Times New Roman" w:hAnsi="Calibri" w:cs="Times New Roman"/>
          <w:lang w:val="en-GB"/>
        </w:rPr>
        <w:t xml:space="preserve">, </w:t>
      </w:r>
      <w:r w:rsidR="00D54584">
        <w:rPr>
          <w:rStyle w:val="st"/>
          <w:rFonts w:ascii="Calibri" w:eastAsia="Times New Roman" w:hAnsi="Calibri" w:cs="Times New Roman"/>
          <w:lang w:val="el-GR"/>
        </w:rPr>
        <w:t>διαθέσιμο</w:t>
      </w:r>
      <w:r w:rsidR="00D54584" w:rsidRPr="00D54584">
        <w:rPr>
          <w:rStyle w:val="st"/>
          <w:rFonts w:ascii="Calibri" w:eastAsia="Times New Roman" w:hAnsi="Calibri" w:cs="Times New Roman"/>
          <w:lang w:val="en-GB"/>
        </w:rPr>
        <w:t xml:space="preserve"> </w:t>
      </w:r>
      <w:r w:rsidR="00D54584">
        <w:rPr>
          <w:rStyle w:val="st"/>
          <w:rFonts w:ascii="Calibri" w:eastAsia="Times New Roman" w:hAnsi="Calibri" w:cs="Times New Roman"/>
          <w:lang w:val="el-GR"/>
        </w:rPr>
        <w:t>στον</w:t>
      </w:r>
      <w:r w:rsidR="00D54584" w:rsidRPr="00D54584">
        <w:rPr>
          <w:rStyle w:val="st"/>
          <w:rFonts w:ascii="Calibri" w:eastAsia="Times New Roman" w:hAnsi="Calibri" w:cs="Times New Roman"/>
          <w:lang w:val="en-GB"/>
        </w:rPr>
        <w:t xml:space="preserve"> </w:t>
      </w:r>
      <w:r w:rsidR="00D54584">
        <w:rPr>
          <w:rStyle w:val="st"/>
          <w:rFonts w:ascii="Calibri" w:eastAsia="Times New Roman" w:hAnsi="Calibri" w:cs="Times New Roman"/>
          <w:lang w:val="el-GR"/>
        </w:rPr>
        <w:t>παρακάτω</w:t>
      </w:r>
      <w:r w:rsidR="00D54584" w:rsidRPr="00D54584">
        <w:rPr>
          <w:rStyle w:val="st"/>
          <w:rFonts w:ascii="Calibri" w:eastAsia="Times New Roman" w:hAnsi="Calibri" w:cs="Times New Roman"/>
        </w:rPr>
        <w:t xml:space="preserve"> </w:t>
      </w:r>
      <w:r w:rsidR="00D54584">
        <w:rPr>
          <w:rStyle w:val="st"/>
          <w:rFonts w:ascii="Calibri" w:eastAsia="Times New Roman" w:hAnsi="Calibri" w:cs="Times New Roman"/>
          <w:lang w:val="el-GR"/>
        </w:rPr>
        <w:t>διαδικτυακό</w:t>
      </w:r>
      <w:r w:rsidR="00D54584" w:rsidRPr="00D54584">
        <w:rPr>
          <w:rStyle w:val="st"/>
          <w:rFonts w:ascii="Calibri" w:eastAsia="Times New Roman" w:hAnsi="Calibri" w:cs="Times New Roman"/>
        </w:rPr>
        <w:t xml:space="preserve"> </w:t>
      </w:r>
      <w:r w:rsidR="00D54584">
        <w:rPr>
          <w:rStyle w:val="st"/>
          <w:rFonts w:ascii="Calibri" w:eastAsia="Times New Roman" w:hAnsi="Calibri" w:cs="Times New Roman"/>
          <w:lang w:val="el-GR"/>
        </w:rPr>
        <w:t>σύνδεσμ</w:t>
      </w:r>
      <w:r w:rsidR="00440406">
        <w:rPr>
          <w:rStyle w:val="st"/>
          <w:rFonts w:ascii="Calibri" w:eastAsia="Times New Roman" w:hAnsi="Calibri" w:cs="Times New Roman"/>
          <w:lang w:val="el-GR"/>
        </w:rPr>
        <w:t>ο</w:t>
      </w:r>
      <w:r w:rsidR="00D54584" w:rsidRPr="00D54584">
        <w:rPr>
          <w:rStyle w:val="st"/>
          <w:rFonts w:ascii="Calibri" w:eastAsia="Times New Roman" w:hAnsi="Calibri" w:cs="Times New Roman"/>
        </w:rPr>
        <w:t>:</w:t>
      </w:r>
    </w:p>
    <w:p w14:paraId="6B8867B6" w14:textId="6D9D7894" w:rsidR="00D54584" w:rsidRPr="00440406" w:rsidRDefault="00E80897" w:rsidP="00CC59AE">
      <w:pPr>
        <w:rPr>
          <w:rStyle w:val="st"/>
          <w:rFonts w:ascii="Calibri" w:eastAsia="Times New Roman" w:hAnsi="Calibri" w:cs="Times New Roman"/>
        </w:rPr>
      </w:pPr>
      <w:hyperlink r:id="rId9" w:history="1">
        <w:r w:rsidR="00D54584" w:rsidRPr="00440406">
          <w:rPr>
            <w:rStyle w:val="Hyperlink"/>
            <w:rFonts w:ascii="Calibri" w:eastAsia="Times New Roman" w:hAnsi="Calibri" w:cs="Times New Roman"/>
          </w:rPr>
          <w:t>http://www.europarl.europa.eu/RegData/etudes/IDAN/2015/565904/EPRS_IDA%282015%29565904_EN.pdf</w:t>
        </w:r>
      </w:hyperlink>
    </w:p>
    <w:p w14:paraId="26F320C5" w14:textId="65901F81" w:rsidR="00000C99" w:rsidRPr="00CC1034" w:rsidRDefault="00000C99" w:rsidP="00CC59AE">
      <w:pPr>
        <w:rPr>
          <w:rStyle w:val="st"/>
          <w:rFonts w:ascii="Calibri" w:eastAsia="Times New Roman" w:hAnsi="Calibri" w:cs="Times New Roman"/>
          <w:lang w:val="fr-BE"/>
        </w:rPr>
      </w:pPr>
      <w:r w:rsidRPr="00D54584">
        <w:rPr>
          <w:rStyle w:val="st"/>
          <w:rFonts w:ascii="Calibri" w:eastAsia="Times New Roman" w:hAnsi="Calibri" w:cs="Times New Roman"/>
          <w:smallCaps/>
          <w:lang w:val="fr-BE"/>
        </w:rPr>
        <w:t>J. Julien</w:t>
      </w:r>
      <w:r w:rsidRPr="00CC1034">
        <w:rPr>
          <w:rStyle w:val="st"/>
          <w:rFonts w:ascii="Calibri" w:eastAsia="Times New Roman" w:hAnsi="Calibri" w:cs="Times New Roman"/>
          <w:lang w:val="fr-BE"/>
        </w:rPr>
        <w:t>, Droit de la consommation, LGDJ, 2015</w:t>
      </w:r>
    </w:p>
    <w:p w14:paraId="3D273C0F" w14:textId="465118FA" w:rsidR="00440406" w:rsidRPr="00440406" w:rsidRDefault="00E10676" w:rsidP="00D54584">
      <w:pPr>
        <w:jc w:val="both"/>
        <w:rPr>
          <w:rStyle w:val="st"/>
          <w:rFonts w:ascii="Calibri" w:eastAsia="Times New Roman" w:hAnsi="Calibri" w:cs="Times New Roman"/>
          <w:lang w:val="en-GB"/>
        </w:rPr>
      </w:pPr>
      <w:r w:rsidRPr="00D54584">
        <w:rPr>
          <w:rStyle w:val="st"/>
          <w:rFonts w:ascii="Calibri" w:eastAsia="Times New Roman" w:hAnsi="Calibri" w:cs="Times New Roman"/>
          <w:smallCaps/>
        </w:rPr>
        <w:t>M.</w:t>
      </w:r>
      <w:r w:rsidR="00CC59AE" w:rsidRPr="00D54584">
        <w:rPr>
          <w:rStyle w:val="st"/>
          <w:rFonts w:ascii="Calibri" w:eastAsia="Times New Roman" w:hAnsi="Calibri" w:cs="Times New Roman"/>
          <w:smallCaps/>
        </w:rPr>
        <w:t xml:space="preserve"> </w:t>
      </w:r>
      <w:r w:rsidR="00CC59AE" w:rsidRPr="00D54584">
        <w:rPr>
          <w:rStyle w:val="Emphasis"/>
          <w:rFonts w:ascii="Calibri" w:eastAsia="Times New Roman" w:hAnsi="Calibri" w:cs="Times New Roman"/>
          <w:i w:val="0"/>
          <w:smallCaps/>
        </w:rPr>
        <w:t>Kingisepp</w:t>
      </w:r>
      <w:r w:rsidRPr="00D54584">
        <w:rPr>
          <w:rStyle w:val="st"/>
          <w:rFonts w:ascii="Calibri" w:eastAsia="Times New Roman" w:hAnsi="Calibri" w:cs="Times New Roman"/>
          <w:smallCaps/>
        </w:rPr>
        <w:t>, A.</w:t>
      </w:r>
      <w:r w:rsidR="00CC59AE" w:rsidRPr="00D54584">
        <w:rPr>
          <w:rStyle w:val="st"/>
          <w:rFonts w:ascii="Calibri" w:eastAsia="Times New Roman" w:hAnsi="Calibri" w:cs="Times New Roman"/>
          <w:smallCaps/>
        </w:rPr>
        <w:t xml:space="preserve"> Värv</w:t>
      </w:r>
      <w:r w:rsidR="00CC59AE" w:rsidRPr="00CC1034">
        <w:rPr>
          <w:rStyle w:val="st"/>
          <w:rFonts w:ascii="Calibri" w:eastAsia="Times New Roman" w:hAnsi="Calibri" w:cs="Times New Roman"/>
        </w:rPr>
        <w:t>. The Notion of Consumer in EU Consumer Acquis and the Consumer Right</w:t>
      </w:r>
      <w:r w:rsidR="008A7A7B" w:rsidRPr="00CC1034">
        <w:rPr>
          <w:rStyle w:val="st"/>
          <w:rFonts w:ascii="Calibri" w:eastAsia="Times New Roman" w:hAnsi="Calibri" w:cs="Times New Roman"/>
        </w:rPr>
        <w:t>, 2011,</w:t>
      </w:r>
      <w:r w:rsidR="00D54584" w:rsidRPr="00D54584">
        <w:rPr>
          <w:rStyle w:val="st"/>
          <w:rFonts w:ascii="Calibri" w:eastAsia="Times New Roman" w:hAnsi="Calibri" w:cs="Times New Roman"/>
          <w:lang w:val="en-GB"/>
        </w:rPr>
        <w:t xml:space="preserve"> </w:t>
      </w:r>
      <w:hyperlink r:id="rId10" w:history="1">
        <w:r w:rsidR="00440406" w:rsidRPr="007731EE">
          <w:rPr>
            <w:rStyle w:val="Hyperlink"/>
            <w:rFonts w:ascii="Calibri" w:eastAsia="Times New Roman" w:hAnsi="Calibri" w:cs="Times New Roman"/>
            <w:lang w:val="en-GB"/>
          </w:rPr>
          <w:t>http://www.juridicainternational.eu/?id=14841</w:t>
        </w:r>
      </w:hyperlink>
    </w:p>
    <w:p w14:paraId="3B46B4BB" w14:textId="13C7D02F" w:rsidR="008A7A7B" w:rsidRPr="00CC1034" w:rsidRDefault="00E10676" w:rsidP="00440406">
      <w:pPr>
        <w:jc w:val="both"/>
        <w:rPr>
          <w:rStyle w:val="a-size-small"/>
          <w:rFonts w:ascii="Calibri" w:eastAsia="Times New Roman" w:hAnsi="Calibri" w:cs="Times New Roman"/>
        </w:rPr>
      </w:pPr>
      <w:r w:rsidRPr="00D54584">
        <w:rPr>
          <w:rStyle w:val="a-size-small"/>
          <w:rFonts w:ascii="Calibri" w:eastAsia="Times New Roman" w:hAnsi="Calibri" w:cs="Times New Roman"/>
          <w:smallCaps/>
        </w:rPr>
        <w:t>N. Reich</w:t>
      </w:r>
      <w:proofErr w:type="gramStart"/>
      <w:r w:rsidR="00D54584" w:rsidRPr="00D54584">
        <w:rPr>
          <w:rStyle w:val="a-size-small"/>
          <w:rFonts w:ascii="Calibri" w:eastAsia="Times New Roman" w:hAnsi="Calibri" w:cs="Times New Roman"/>
          <w:smallCaps/>
          <w:lang w:val="en-GB"/>
        </w:rPr>
        <w:t>,</w:t>
      </w:r>
      <w:r w:rsidRPr="00D54584">
        <w:rPr>
          <w:rStyle w:val="a-size-small"/>
          <w:rFonts w:ascii="Calibri" w:eastAsia="Times New Roman" w:hAnsi="Calibri" w:cs="Times New Roman"/>
          <w:smallCaps/>
        </w:rPr>
        <w:t xml:space="preserve">  H</w:t>
      </w:r>
      <w:proofErr w:type="gramEnd"/>
      <w:r w:rsidRPr="00D54584">
        <w:rPr>
          <w:rStyle w:val="a-size-small"/>
          <w:rFonts w:ascii="Calibri" w:eastAsia="Times New Roman" w:hAnsi="Calibri" w:cs="Times New Roman"/>
          <w:smallCaps/>
        </w:rPr>
        <w:t>.</w:t>
      </w:r>
      <w:r w:rsidR="008A7A7B" w:rsidRPr="00D54584">
        <w:rPr>
          <w:rStyle w:val="a-size-small"/>
          <w:rFonts w:ascii="Calibri" w:eastAsia="Times New Roman" w:hAnsi="Calibri" w:cs="Times New Roman"/>
          <w:smallCaps/>
        </w:rPr>
        <w:t>-W. Micklitz</w:t>
      </w:r>
      <w:r w:rsidR="008A7A7B" w:rsidRPr="00CC1034">
        <w:rPr>
          <w:rStyle w:val="a-size-small"/>
          <w:rFonts w:ascii="Calibri" w:eastAsia="Times New Roman" w:hAnsi="Calibri" w:cs="Times New Roman"/>
        </w:rPr>
        <w:t xml:space="preserve">, European consumer law, 2 ed., </w:t>
      </w:r>
      <w:r w:rsidR="00C1521B" w:rsidRPr="00CC1034">
        <w:rPr>
          <w:rStyle w:val="a-size-small"/>
          <w:rFonts w:ascii="Calibri" w:eastAsia="Times New Roman" w:hAnsi="Calibri" w:cs="Times New Roman"/>
        </w:rPr>
        <w:t xml:space="preserve">Intersentia, </w:t>
      </w:r>
      <w:r w:rsidR="008A7A7B" w:rsidRPr="00CC1034">
        <w:rPr>
          <w:rStyle w:val="a-size-small"/>
          <w:rFonts w:ascii="Calibri" w:eastAsia="Times New Roman" w:hAnsi="Calibri" w:cs="Times New Roman"/>
        </w:rPr>
        <w:t>2014</w:t>
      </w:r>
      <w:r w:rsidR="00000C99" w:rsidRPr="00CC1034">
        <w:rPr>
          <w:rStyle w:val="a-size-small"/>
          <w:rFonts w:ascii="Calibri" w:eastAsia="Times New Roman" w:hAnsi="Calibri" w:cs="Times New Roman"/>
        </w:rPr>
        <w:t xml:space="preserve"> </w:t>
      </w:r>
    </w:p>
    <w:p w14:paraId="2A1ECA91" w14:textId="7A4DD7A4" w:rsidR="00000C99" w:rsidRPr="00CC1034" w:rsidRDefault="00000C99" w:rsidP="00CC59AE">
      <w:pPr>
        <w:rPr>
          <w:rStyle w:val="a-size-small"/>
          <w:rFonts w:ascii="Calibri" w:eastAsia="Times New Roman" w:hAnsi="Calibri" w:cs="Times New Roman"/>
        </w:rPr>
      </w:pPr>
      <w:r w:rsidRPr="00D54584">
        <w:rPr>
          <w:rStyle w:val="a-size-small"/>
          <w:rFonts w:ascii="Calibri" w:eastAsia="Times New Roman" w:hAnsi="Calibri" w:cs="Times New Roman"/>
          <w:smallCaps/>
        </w:rPr>
        <w:t>S. Weatherill</w:t>
      </w:r>
      <w:r w:rsidRPr="00CC1034">
        <w:rPr>
          <w:rStyle w:val="a-size-small"/>
          <w:rFonts w:ascii="Calibri" w:eastAsia="Times New Roman" w:hAnsi="Calibri" w:cs="Times New Roman"/>
        </w:rPr>
        <w:t>, EU Consumer law and policy, Edward Elgar, 2005</w:t>
      </w:r>
    </w:p>
    <w:p w14:paraId="63DE11E7" w14:textId="5A567A2C" w:rsidR="00C82F24" w:rsidRPr="00CC1034" w:rsidRDefault="00C82F24" w:rsidP="00C82F24">
      <w:pPr>
        <w:pStyle w:val="Heading2"/>
        <w:rPr>
          <w:rFonts w:ascii="Calibri" w:hAnsi="Calibri"/>
          <w:color w:val="auto"/>
          <w:sz w:val="24"/>
          <w:szCs w:val="24"/>
          <w:lang w:val="el-GR"/>
        </w:rPr>
      </w:pPr>
      <w:r w:rsidRPr="00CC1034">
        <w:rPr>
          <w:rFonts w:ascii="Calibri" w:hAnsi="Calibri"/>
          <w:color w:val="auto"/>
          <w:sz w:val="24"/>
          <w:szCs w:val="24"/>
          <w:lang w:val="el-GR"/>
        </w:rPr>
        <w:t>Ενωσιακό δίκαιο για τις δημόσιες συμβάσεις</w:t>
      </w:r>
    </w:p>
    <w:p w14:paraId="5B5B494F" w14:textId="77777777" w:rsidR="00C82F24" w:rsidRPr="00CC1034" w:rsidRDefault="00C82F24" w:rsidP="00C82F24">
      <w:pPr>
        <w:rPr>
          <w:rFonts w:ascii="Calibri" w:hAnsi="Calibri" w:cstheme="majorHAnsi"/>
          <w:i/>
          <w:lang w:val="el-GR"/>
        </w:rPr>
      </w:pPr>
    </w:p>
    <w:p w14:paraId="4B6D23F2" w14:textId="77777777" w:rsidR="00C82F24" w:rsidRPr="00CC1034" w:rsidRDefault="00C82F24" w:rsidP="00C82F24">
      <w:pPr>
        <w:rPr>
          <w:rFonts w:ascii="Calibri" w:hAnsi="Calibri" w:cstheme="majorHAnsi"/>
          <w:i/>
          <w:lang w:val="el-GR"/>
        </w:rPr>
      </w:pPr>
      <w:r w:rsidRPr="00CC1034">
        <w:rPr>
          <w:rFonts w:ascii="Calibri" w:hAnsi="Calibri" w:cstheme="majorHAnsi"/>
          <w:i/>
          <w:lang w:val="el-GR"/>
        </w:rPr>
        <w:t>Ελληνόγλωσση</w:t>
      </w:r>
    </w:p>
    <w:p w14:paraId="582CBC0B" w14:textId="31821962" w:rsidR="00915B8D" w:rsidRPr="00CC1034" w:rsidRDefault="00E50C5C" w:rsidP="00C1521B">
      <w:pPr>
        <w:spacing w:before="120"/>
        <w:jc w:val="both"/>
        <w:rPr>
          <w:rFonts w:ascii="Calibri" w:hAnsi="Calibri" w:cstheme="majorHAnsi"/>
          <w:lang w:val="el-GR"/>
        </w:rPr>
      </w:pPr>
      <w:r w:rsidRPr="00793F80">
        <w:rPr>
          <w:rStyle w:val="Strong"/>
          <w:rFonts w:ascii="Calibri" w:eastAsia="Times New Roman" w:hAnsi="Calibri" w:cs="Times New Roman"/>
          <w:b w:val="0"/>
          <w:smallCaps/>
          <w:lang w:val="el-GR"/>
        </w:rPr>
        <w:t>Μ. Οικονόμου</w:t>
      </w:r>
      <w:r w:rsidR="00915B8D" w:rsidRPr="00CC1034">
        <w:rPr>
          <w:rStyle w:val="Strong"/>
          <w:rFonts w:ascii="Calibri" w:eastAsia="Times New Roman" w:hAnsi="Calibri" w:cs="Times New Roman"/>
          <w:b w:val="0"/>
          <w:lang w:val="el-GR"/>
        </w:rPr>
        <w:t>,</w:t>
      </w:r>
      <w:r w:rsidR="00915B8D" w:rsidRPr="00CC1034">
        <w:rPr>
          <w:rFonts w:ascii="Calibri" w:eastAsia="Times New Roman" w:hAnsi="Calibri" w:cs="Times New Roman"/>
          <w:b/>
          <w:lang w:val="el-GR"/>
        </w:rPr>
        <w:t xml:space="preserve"> </w:t>
      </w:r>
      <w:r w:rsidR="00915B8D" w:rsidRPr="00CC1034">
        <w:rPr>
          <w:rFonts w:ascii="Calibri" w:eastAsia="Times New Roman" w:hAnsi="Calibri" w:cs="Times New Roman"/>
          <w:lang w:val="el-GR"/>
        </w:rPr>
        <w:t>Δημόσιες Συμβάσεις και Δίκαιο Ελεύθερου Ανταγωνισμού, Νομική Βιβλιοθήκη</w:t>
      </w:r>
      <w:r w:rsidR="00793F80">
        <w:rPr>
          <w:rFonts w:ascii="Calibri" w:eastAsia="Times New Roman" w:hAnsi="Calibri" w:cs="Times New Roman"/>
          <w:lang w:val="el-GR"/>
        </w:rPr>
        <w:t>,</w:t>
      </w:r>
      <w:r w:rsidR="00915B8D" w:rsidRPr="00CC1034">
        <w:rPr>
          <w:rFonts w:ascii="Calibri" w:eastAsia="Times New Roman" w:hAnsi="Calibri" w:cs="Times New Roman"/>
          <w:lang w:val="el-GR"/>
        </w:rPr>
        <w:t xml:space="preserve"> 2009</w:t>
      </w:r>
    </w:p>
    <w:p w14:paraId="4C426841" w14:textId="060D8C35" w:rsidR="00915B8D" w:rsidRPr="00CC1034" w:rsidRDefault="00E50C5C" w:rsidP="00E50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Times New Roman" w:hAnsi="Calibri" w:cs="Courier New"/>
          <w:lang w:val="el-GR" w:eastAsia="el-GR"/>
        </w:rPr>
      </w:pPr>
      <w:r w:rsidRPr="00793F80">
        <w:rPr>
          <w:rFonts w:ascii="Calibri" w:eastAsia="Times New Roman" w:hAnsi="Calibri" w:cs="Courier New"/>
          <w:smallCaps/>
          <w:lang w:val="el-GR" w:eastAsia="el-GR"/>
        </w:rPr>
        <w:t>Σ. Παλιού</w:t>
      </w:r>
      <w:r w:rsidRPr="00CC1034">
        <w:rPr>
          <w:rFonts w:ascii="Calibri" w:eastAsia="Times New Roman" w:hAnsi="Calibri" w:cs="Courier New"/>
          <w:lang w:val="el-GR" w:eastAsia="el-GR"/>
        </w:rPr>
        <w:t xml:space="preserve">, </w:t>
      </w:r>
      <w:r w:rsidR="00915B8D" w:rsidRPr="00CC1034">
        <w:rPr>
          <w:rFonts w:ascii="Calibri" w:eastAsia="Times New Roman" w:hAnsi="Calibri" w:cs="Courier New"/>
          <w:lang w:val="el-GR" w:eastAsia="el-GR"/>
        </w:rPr>
        <w:t xml:space="preserve">Η αρχή του ανταγωνισμού στην κοινοτική </w:t>
      </w:r>
      <w:r w:rsidRPr="00CC1034">
        <w:rPr>
          <w:rFonts w:ascii="Calibri" w:eastAsia="Times New Roman" w:hAnsi="Calibri" w:cs="Courier New"/>
          <w:lang w:val="el-GR" w:eastAsia="el-GR"/>
        </w:rPr>
        <w:t>ρύθμιση των δημοσίων συμβάσεων,</w:t>
      </w:r>
      <w:r w:rsidR="00915B8D" w:rsidRPr="00CC1034">
        <w:rPr>
          <w:rFonts w:ascii="Calibri" w:eastAsia="Times New Roman" w:hAnsi="Calibri" w:cs="Courier New"/>
          <w:lang w:val="el-GR" w:eastAsia="el-GR"/>
        </w:rPr>
        <w:t xml:space="preserve"> 2009</w:t>
      </w:r>
    </w:p>
    <w:p w14:paraId="58183B9B" w14:textId="040AEFDC" w:rsidR="00C82F24" w:rsidRPr="00CC1034" w:rsidRDefault="00122239" w:rsidP="00C82F24">
      <w:pPr>
        <w:rPr>
          <w:rFonts w:ascii="Calibri" w:hAnsi="Calibri" w:cstheme="majorHAnsi"/>
          <w:lang w:val="el-GR"/>
        </w:rPr>
      </w:pPr>
      <w:r w:rsidRPr="00793F80">
        <w:rPr>
          <w:rFonts w:ascii="Calibri" w:hAnsi="Calibri" w:cstheme="majorHAnsi"/>
          <w:smallCaps/>
          <w:lang w:val="el-GR"/>
        </w:rPr>
        <w:t>Δ. Ραϊκος</w:t>
      </w:r>
      <w:r w:rsidRPr="00CC1034">
        <w:rPr>
          <w:rFonts w:ascii="Calibri" w:hAnsi="Calibri" w:cstheme="majorHAnsi"/>
          <w:lang w:val="el-GR"/>
        </w:rPr>
        <w:t>, Δίκαιο Δημοσίων Συμβάσεων, εκδ. Σάκκουλα, 2014</w:t>
      </w:r>
    </w:p>
    <w:p w14:paraId="79C3EFEB" w14:textId="29532E93" w:rsidR="00915B8D" w:rsidRPr="00CC1034" w:rsidRDefault="00915B8D" w:rsidP="00E50C5C">
      <w:pPr>
        <w:jc w:val="both"/>
        <w:rPr>
          <w:rFonts w:ascii="Calibri" w:hAnsi="Calibri" w:cstheme="majorHAnsi"/>
          <w:lang w:val="en-GB"/>
        </w:rPr>
      </w:pPr>
      <w:r w:rsidRPr="00793F80">
        <w:rPr>
          <w:rFonts w:ascii="Calibri" w:eastAsia="Times New Roman" w:hAnsi="Calibri" w:cs="Times New Roman"/>
          <w:smallCaps/>
          <w:lang w:val="el-GR"/>
        </w:rPr>
        <w:t>Ι. Κίτσος</w:t>
      </w:r>
      <w:r w:rsidRPr="00CC1034">
        <w:rPr>
          <w:rFonts w:ascii="Calibri" w:eastAsia="Times New Roman" w:hAnsi="Calibri" w:cs="Times New Roman"/>
          <w:lang w:val="el-GR"/>
        </w:rPr>
        <w:t xml:space="preserve">, Η Οδηγία 2014/23/ΕΕ σχετικά με την ανάθεση συμβάσεων παραχώρησης, εκδ. </w:t>
      </w:r>
      <w:r w:rsidRPr="00CC1034">
        <w:rPr>
          <w:rFonts w:ascii="Calibri" w:eastAsia="Times New Roman" w:hAnsi="Calibri" w:cs="Times New Roman"/>
        </w:rPr>
        <w:t>Σάκκουλα, 2016</w:t>
      </w:r>
    </w:p>
    <w:p w14:paraId="7274C087" w14:textId="77777777" w:rsidR="00122239" w:rsidRPr="00CC1034" w:rsidRDefault="00122239" w:rsidP="00C82F24">
      <w:pPr>
        <w:rPr>
          <w:rFonts w:ascii="Calibri" w:hAnsi="Calibri" w:cstheme="majorHAnsi"/>
          <w:lang w:val="en-GB"/>
        </w:rPr>
      </w:pPr>
    </w:p>
    <w:p w14:paraId="3508D6ED" w14:textId="77777777" w:rsidR="00C82F24" w:rsidRPr="00CC1034" w:rsidRDefault="00C82F24" w:rsidP="00C82F24">
      <w:pPr>
        <w:rPr>
          <w:rFonts w:ascii="Calibri" w:hAnsi="Calibri" w:cstheme="majorHAnsi"/>
          <w:i/>
          <w:lang w:val="en-GB"/>
        </w:rPr>
      </w:pPr>
      <w:r w:rsidRPr="00CC1034">
        <w:rPr>
          <w:rFonts w:ascii="Calibri" w:hAnsi="Calibri" w:cstheme="majorHAnsi"/>
          <w:i/>
          <w:lang w:val="el-GR"/>
        </w:rPr>
        <w:t>Ξενόγλωσση</w:t>
      </w:r>
    </w:p>
    <w:p w14:paraId="34B39655" w14:textId="1B0BCF3D" w:rsidR="00C82F24" w:rsidRPr="00CC1034" w:rsidRDefault="00D95578" w:rsidP="00C1521B">
      <w:pPr>
        <w:spacing w:before="120"/>
        <w:rPr>
          <w:rFonts w:ascii="Calibri" w:hAnsi="Calibri"/>
          <w:lang w:val="en-GB"/>
        </w:rPr>
      </w:pPr>
      <w:r w:rsidRPr="00793F80">
        <w:rPr>
          <w:rFonts w:ascii="Calibri" w:hAnsi="Calibri"/>
          <w:smallCaps/>
          <w:lang w:val="en-GB"/>
        </w:rPr>
        <w:t>Ch. Bovis</w:t>
      </w:r>
      <w:r w:rsidRPr="00CC1034">
        <w:rPr>
          <w:rFonts w:ascii="Calibri" w:hAnsi="Calibri"/>
          <w:lang w:val="en-GB"/>
        </w:rPr>
        <w:t>, The law of the EU on public procurement, Oxford 2015</w:t>
      </w:r>
    </w:p>
    <w:p w14:paraId="4B82574B" w14:textId="1883A25B" w:rsidR="00D95578" w:rsidRPr="00CC1034" w:rsidRDefault="00C1521B" w:rsidP="00D95578">
      <w:pPr>
        <w:rPr>
          <w:rFonts w:ascii="Calibri" w:eastAsia="Times New Roman" w:hAnsi="Calibri" w:cs="Times New Roman"/>
        </w:rPr>
      </w:pPr>
      <w:r w:rsidRPr="00793F80">
        <w:rPr>
          <w:rStyle w:val="st"/>
          <w:rFonts w:ascii="Calibri" w:eastAsia="Times New Roman" w:hAnsi="Calibri" w:cs="Times New Roman"/>
          <w:smallCaps/>
        </w:rPr>
        <w:t>L. Digings</w:t>
      </w:r>
      <w:r w:rsidRPr="00CC1034">
        <w:rPr>
          <w:rStyle w:val="st"/>
          <w:rFonts w:ascii="Calibri" w:eastAsia="Times New Roman" w:hAnsi="Calibri" w:cs="Times New Roman"/>
        </w:rPr>
        <w:t xml:space="preserve">, </w:t>
      </w:r>
      <w:r w:rsidR="00D95578" w:rsidRPr="00CC1034">
        <w:rPr>
          <w:rStyle w:val="Emphasis"/>
          <w:rFonts w:ascii="Calibri" w:eastAsia="Times New Roman" w:hAnsi="Calibri" w:cs="Times New Roman"/>
          <w:i w:val="0"/>
        </w:rPr>
        <w:t>EU Public Procurement</w:t>
      </w:r>
      <w:r w:rsidR="00D95578" w:rsidRPr="00CC1034">
        <w:rPr>
          <w:rStyle w:val="st"/>
          <w:rFonts w:ascii="Calibri" w:eastAsia="Times New Roman" w:hAnsi="Calibri" w:cs="Times New Roman"/>
        </w:rPr>
        <w:t>: Law and Practice</w:t>
      </w:r>
      <w:r w:rsidRPr="00CC1034">
        <w:rPr>
          <w:rStyle w:val="st"/>
          <w:rFonts w:ascii="Calibri" w:eastAsia="Times New Roman" w:hAnsi="Calibri" w:cs="Times New Roman"/>
        </w:rPr>
        <w:t>,</w:t>
      </w:r>
      <w:r w:rsidR="00D95578" w:rsidRPr="00CC1034">
        <w:rPr>
          <w:rStyle w:val="st"/>
          <w:rFonts w:ascii="Calibri" w:eastAsia="Times New Roman" w:hAnsi="Calibri" w:cs="Times New Roman"/>
        </w:rPr>
        <w:t xml:space="preserve"> </w:t>
      </w:r>
      <w:r w:rsidRPr="00CC1034">
        <w:rPr>
          <w:rStyle w:val="st"/>
          <w:rFonts w:ascii="Calibri" w:eastAsia="Times New Roman" w:hAnsi="Calibri" w:cs="Times New Roman"/>
        </w:rPr>
        <w:t>Sweet and Maxwell</w:t>
      </w:r>
      <w:r w:rsidR="00D95578" w:rsidRPr="00CC1034">
        <w:rPr>
          <w:rStyle w:val="st"/>
          <w:rFonts w:ascii="Calibri" w:eastAsia="Times New Roman" w:hAnsi="Calibri" w:cs="Times New Roman"/>
        </w:rPr>
        <w:t>, 2016</w:t>
      </w:r>
    </w:p>
    <w:p w14:paraId="7255ECF7" w14:textId="686AF26F" w:rsidR="00D95578" w:rsidRPr="00CC1034" w:rsidRDefault="00D95578" w:rsidP="00D95578">
      <w:pPr>
        <w:rPr>
          <w:rFonts w:ascii="Calibri" w:eastAsia="Times New Roman" w:hAnsi="Calibri" w:cs="Times New Roman"/>
          <w:lang w:val="fr-BE"/>
        </w:rPr>
      </w:pPr>
      <w:r w:rsidRPr="00793F80">
        <w:rPr>
          <w:rFonts w:ascii="Calibri" w:eastAsia="Times New Roman" w:hAnsi="Calibri" w:cs="Times New Roman"/>
          <w:smallCaps/>
        </w:rPr>
        <w:t>S. Arrowsmith</w:t>
      </w:r>
      <w:r w:rsidRPr="00CC1034">
        <w:rPr>
          <w:rFonts w:ascii="Calibri" w:eastAsia="Times New Roman" w:hAnsi="Calibri" w:cs="Times New Roman"/>
        </w:rPr>
        <w:t>, The Law of Public and Utilities Procurement, 3</w:t>
      </w:r>
      <w:r w:rsidRPr="00CC1034">
        <w:rPr>
          <w:rFonts w:ascii="Calibri" w:eastAsia="Times New Roman" w:hAnsi="Calibri" w:cs="Times New Roman"/>
          <w:vertAlign w:val="superscript"/>
        </w:rPr>
        <w:t>rd</w:t>
      </w:r>
      <w:r w:rsidRPr="00CC1034">
        <w:rPr>
          <w:rFonts w:ascii="Calibri" w:eastAsia="Times New Roman" w:hAnsi="Calibri" w:cs="Times New Roman"/>
        </w:rPr>
        <w:t xml:space="preserve"> ed. </w:t>
      </w:r>
      <w:r w:rsidRPr="00CC1034">
        <w:rPr>
          <w:rFonts w:ascii="Calibri" w:eastAsia="Times New Roman" w:hAnsi="Calibri" w:cs="Times New Roman"/>
          <w:lang w:val="fr-BE"/>
        </w:rPr>
        <w:t>Sweet and Maxwell, 2014</w:t>
      </w:r>
    </w:p>
    <w:p w14:paraId="2BCAC24E" w14:textId="0F3C96DC" w:rsidR="00D95578" w:rsidRPr="00CC1034" w:rsidRDefault="00D95578" w:rsidP="00D95578">
      <w:pPr>
        <w:rPr>
          <w:rFonts w:ascii="Calibri" w:hAnsi="Calibri"/>
          <w:lang w:val="fr-BE"/>
        </w:rPr>
      </w:pPr>
      <w:r w:rsidRPr="00793F80">
        <w:rPr>
          <w:rStyle w:val="Strong"/>
          <w:rFonts w:ascii="Calibri" w:eastAsia="Times New Roman" w:hAnsi="Calibri" w:cs="Times New Roman"/>
          <w:b w:val="0"/>
          <w:smallCaps/>
          <w:lang w:val="fr-BE"/>
        </w:rPr>
        <w:t>Fl</w:t>
      </w:r>
      <w:r w:rsidR="00C1521B" w:rsidRPr="00793F80">
        <w:rPr>
          <w:rStyle w:val="Strong"/>
          <w:rFonts w:ascii="Calibri" w:eastAsia="Times New Roman" w:hAnsi="Calibri" w:cs="Times New Roman"/>
          <w:b w:val="0"/>
          <w:smallCaps/>
          <w:lang w:val="fr-BE"/>
        </w:rPr>
        <w:t>.</w:t>
      </w:r>
      <w:r w:rsidRPr="00793F80">
        <w:rPr>
          <w:rStyle w:val="Strong"/>
          <w:rFonts w:ascii="Calibri" w:eastAsia="Times New Roman" w:hAnsi="Calibri" w:cs="Times New Roman"/>
          <w:b w:val="0"/>
          <w:smallCaps/>
          <w:lang w:val="fr-BE"/>
        </w:rPr>
        <w:t xml:space="preserve"> Linditch</w:t>
      </w:r>
      <w:r w:rsidRPr="00CC1034">
        <w:rPr>
          <w:rFonts w:ascii="Calibri" w:eastAsia="Times New Roman" w:hAnsi="Calibri" w:cs="Times New Roman"/>
          <w:b/>
          <w:lang w:val="fr-BE"/>
        </w:rPr>
        <w:t xml:space="preserve">, </w:t>
      </w:r>
      <w:r w:rsidRPr="00CC1034">
        <w:rPr>
          <w:rFonts w:ascii="Calibri" w:eastAsia="Times New Roman" w:hAnsi="Calibri" w:cs="Times New Roman"/>
          <w:lang w:val="fr-BE"/>
        </w:rPr>
        <w:t>Le droit des marchés publics, Dalloz, 2014</w:t>
      </w:r>
    </w:p>
    <w:p w14:paraId="714BEEDE" w14:textId="77777777" w:rsidR="00E10676" w:rsidRPr="00CC1034" w:rsidRDefault="00E10676" w:rsidP="00C82F24">
      <w:pPr>
        <w:pStyle w:val="Heading2"/>
        <w:rPr>
          <w:rFonts w:ascii="Calibri" w:hAnsi="Calibri"/>
          <w:color w:val="auto"/>
          <w:sz w:val="24"/>
          <w:szCs w:val="24"/>
          <w:lang w:val="fr-BE"/>
        </w:rPr>
      </w:pPr>
    </w:p>
    <w:p w14:paraId="4299DE0C" w14:textId="17E9C5CE" w:rsidR="00C82F24" w:rsidRPr="00CC1034" w:rsidRDefault="00C82F24" w:rsidP="00C82F24">
      <w:pPr>
        <w:pStyle w:val="Heading2"/>
        <w:rPr>
          <w:rFonts w:ascii="Calibri" w:hAnsi="Calibri"/>
          <w:color w:val="auto"/>
          <w:sz w:val="24"/>
          <w:szCs w:val="24"/>
          <w:lang w:val="el-GR"/>
        </w:rPr>
      </w:pPr>
      <w:r w:rsidRPr="00CC1034">
        <w:rPr>
          <w:rFonts w:ascii="Calibri" w:hAnsi="Calibri"/>
          <w:color w:val="auto"/>
          <w:sz w:val="24"/>
          <w:szCs w:val="24"/>
          <w:lang w:val="el-GR"/>
        </w:rPr>
        <w:t>Ενωσιακό πλαίσιο προστασίας του ανταγωνισμού</w:t>
      </w:r>
    </w:p>
    <w:p w14:paraId="73F214E2" w14:textId="77777777" w:rsidR="00C82F24" w:rsidRPr="00CC1034" w:rsidRDefault="00C82F24" w:rsidP="00C82F24">
      <w:pPr>
        <w:rPr>
          <w:rFonts w:ascii="Calibri" w:hAnsi="Calibri"/>
          <w:lang w:val="el-GR"/>
        </w:rPr>
      </w:pPr>
    </w:p>
    <w:p w14:paraId="2F2A1E09" w14:textId="77777777" w:rsidR="00C82F24" w:rsidRPr="00CC1034" w:rsidRDefault="00C82F24" w:rsidP="00C82F24">
      <w:pPr>
        <w:rPr>
          <w:rFonts w:ascii="Calibri" w:hAnsi="Calibri" w:cstheme="majorHAnsi"/>
          <w:i/>
          <w:lang w:val="el-GR"/>
        </w:rPr>
      </w:pPr>
      <w:r w:rsidRPr="00CC1034">
        <w:rPr>
          <w:rFonts w:ascii="Calibri" w:hAnsi="Calibri" w:cstheme="majorHAnsi"/>
          <w:i/>
          <w:lang w:val="el-GR"/>
        </w:rPr>
        <w:t>Ελληνόγλωσση</w:t>
      </w:r>
    </w:p>
    <w:p w14:paraId="1C5D77B9" w14:textId="0B607399" w:rsidR="00C82F24" w:rsidRPr="00CC1034" w:rsidRDefault="00E256E3" w:rsidP="00C1521B">
      <w:pPr>
        <w:spacing w:before="120"/>
        <w:rPr>
          <w:rFonts w:ascii="Calibri" w:hAnsi="Calibri" w:cstheme="majorHAnsi"/>
          <w:lang w:val="el-GR"/>
        </w:rPr>
      </w:pPr>
      <w:r w:rsidRPr="00793F80">
        <w:rPr>
          <w:rFonts w:ascii="Calibri" w:hAnsi="Calibri" w:cstheme="majorHAnsi"/>
          <w:smallCaps/>
          <w:lang w:val="el-GR"/>
        </w:rPr>
        <w:t>Γ. Αυγερινός</w:t>
      </w:r>
      <w:r w:rsidRPr="00CC1034">
        <w:rPr>
          <w:rFonts w:ascii="Calibri" w:hAnsi="Calibri" w:cstheme="majorHAnsi"/>
          <w:lang w:val="el-GR"/>
        </w:rPr>
        <w:t>, Εισαγωγή στο δίκαιο ανταγωνισμού της ΕΕ, Νομική Βιβλιοθήκη</w:t>
      </w:r>
      <w:r w:rsidR="00793F80">
        <w:rPr>
          <w:rFonts w:ascii="Calibri" w:hAnsi="Calibri" w:cstheme="majorHAnsi"/>
          <w:lang w:val="el-GR"/>
        </w:rPr>
        <w:t>,</w:t>
      </w:r>
      <w:r w:rsidRPr="00CC1034">
        <w:rPr>
          <w:rFonts w:ascii="Calibri" w:hAnsi="Calibri" w:cstheme="majorHAnsi"/>
          <w:lang w:val="el-GR"/>
        </w:rPr>
        <w:t xml:space="preserve"> 2011</w:t>
      </w:r>
    </w:p>
    <w:p w14:paraId="2E3D0406" w14:textId="0D8CFE95" w:rsidR="00E256E3" w:rsidRPr="00CC1034" w:rsidRDefault="00096A09" w:rsidP="00C82F24">
      <w:pPr>
        <w:rPr>
          <w:rFonts w:ascii="Calibri" w:hAnsi="Calibri" w:cstheme="majorHAnsi"/>
          <w:lang w:val="el-GR"/>
        </w:rPr>
      </w:pPr>
      <w:r w:rsidRPr="00793F80">
        <w:rPr>
          <w:rFonts w:ascii="Calibri" w:hAnsi="Calibri" w:cstheme="majorHAnsi"/>
          <w:smallCaps/>
          <w:lang w:val="el-GR"/>
        </w:rPr>
        <w:t>Ι. Δρυλλεράκης</w:t>
      </w:r>
      <w:r w:rsidRPr="00CC1034">
        <w:rPr>
          <w:rFonts w:ascii="Calibri" w:hAnsi="Calibri" w:cstheme="majorHAnsi"/>
          <w:lang w:val="el-GR"/>
        </w:rPr>
        <w:t>, Δίκαιο Ανταγωνισμού, Νομική Βιβλιοθήκη, 2011</w:t>
      </w:r>
    </w:p>
    <w:p w14:paraId="777BD5DB" w14:textId="45B5D134" w:rsidR="00715662" w:rsidRPr="00CC1034" w:rsidRDefault="00715662" w:rsidP="00E10676">
      <w:pPr>
        <w:jc w:val="both"/>
        <w:rPr>
          <w:rFonts w:ascii="Calibri" w:hAnsi="Calibri"/>
          <w:lang w:val="el-GR"/>
        </w:rPr>
      </w:pPr>
      <w:r w:rsidRPr="00793F80">
        <w:rPr>
          <w:rFonts w:ascii="Calibri" w:hAnsi="Calibri"/>
          <w:smallCaps/>
          <w:lang w:val="el-GR"/>
        </w:rPr>
        <w:t>Γ. Καρύδης</w:t>
      </w:r>
      <w:r w:rsidRPr="00CC1034">
        <w:rPr>
          <w:rFonts w:ascii="Calibri" w:hAnsi="Calibri"/>
          <w:lang w:val="el-GR"/>
        </w:rPr>
        <w:t>, Παράνομες κρατικές ενισχύσεις και έννομη προστασία των ενδιαφερόμενων τρίτων, 2013</w:t>
      </w:r>
    </w:p>
    <w:p w14:paraId="40A0E146" w14:textId="70BC85A8" w:rsidR="00715662" w:rsidRPr="00CC1034" w:rsidRDefault="00715662" w:rsidP="00E10676">
      <w:pPr>
        <w:jc w:val="both"/>
        <w:rPr>
          <w:rFonts w:ascii="Calibri" w:hAnsi="Calibri"/>
          <w:lang w:val="el-GR"/>
        </w:rPr>
      </w:pPr>
      <w:r w:rsidRPr="00793F80">
        <w:rPr>
          <w:rFonts w:ascii="Calibri" w:hAnsi="Calibri"/>
          <w:smallCaps/>
          <w:lang w:val="el-GR"/>
        </w:rPr>
        <w:t>Γ. Καρύδης</w:t>
      </w:r>
      <w:r w:rsidR="00793F80">
        <w:rPr>
          <w:rFonts w:ascii="Calibri" w:hAnsi="Calibri"/>
          <w:lang w:val="el-GR"/>
        </w:rPr>
        <w:t>,</w:t>
      </w:r>
      <w:r w:rsidRPr="00CC1034">
        <w:rPr>
          <w:rFonts w:ascii="Calibri" w:hAnsi="Calibri"/>
          <w:lang w:val="el-GR"/>
        </w:rPr>
        <w:t xml:space="preserve"> Ευρωπαϊκό δίκαιο συναλλαγών, Νομική Βιβλιοθήκη, 2012</w:t>
      </w:r>
    </w:p>
    <w:p w14:paraId="39B3DFC5" w14:textId="3CAC18DC" w:rsidR="00096A09" w:rsidRPr="00CC1034" w:rsidRDefault="00096A09" w:rsidP="00793F80">
      <w:pPr>
        <w:jc w:val="both"/>
        <w:rPr>
          <w:rFonts w:ascii="Calibri" w:hAnsi="Calibri" w:cstheme="majorHAnsi"/>
          <w:lang w:val="el-GR"/>
        </w:rPr>
      </w:pPr>
      <w:r w:rsidRPr="00793F80">
        <w:rPr>
          <w:rFonts w:ascii="Calibri" w:hAnsi="Calibri" w:cstheme="majorHAnsi"/>
          <w:smallCaps/>
          <w:lang w:val="el-GR"/>
        </w:rPr>
        <w:t>Λ. Κοτσίρης</w:t>
      </w:r>
      <w:r w:rsidRPr="00CC1034">
        <w:rPr>
          <w:rFonts w:ascii="Calibri" w:hAnsi="Calibri" w:cstheme="majorHAnsi"/>
          <w:lang w:val="el-GR"/>
        </w:rPr>
        <w:t>, Δίκαιο Ανταγωνισμού (Αθέμιτου – Ελεύθερου, αθέμιτες εμπορικές πρακτικές), εκδ. Σάκκουλα, 2011</w:t>
      </w:r>
    </w:p>
    <w:p w14:paraId="5FEA4BBE" w14:textId="031A76E8" w:rsidR="00096A09" w:rsidRPr="00CC1034" w:rsidRDefault="00096A09" w:rsidP="00C82F24">
      <w:pPr>
        <w:rPr>
          <w:rFonts w:ascii="Calibri" w:hAnsi="Calibri" w:cstheme="majorHAnsi"/>
          <w:lang w:val="el-GR"/>
        </w:rPr>
      </w:pPr>
      <w:r w:rsidRPr="00793F80">
        <w:rPr>
          <w:rFonts w:ascii="Calibri" w:hAnsi="Calibri" w:cstheme="majorHAnsi"/>
          <w:smallCaps/>
          <w:lang w:val="el-GR"/>
        </w:rPr>
        <w:t>Γ. Τριανταφυλλάκης</w:t>
      </w:r>
      <w:r w:rsidRPr="00CC1034">
        <w:rPr>
          <w:rFonts w:ascii="Calibri" w:hAnsi="Calibri" w:cstheme="majorHAnsi"/>
          <w:lang w:val="el-GR"/>
        </w:rPr>
        <w:t>, Δίκαιο του ελεύθερου ανταγωνισμού, Νομική Βιβλιοθήκη, 2011</w:t>
      </w:r>
    </w:p>
    <w:p w14:paraId="05C47AD2" w14:textId="77777777" w:rsidR="00715662" w:rsidRPr="00CC1034" w:rsidRDefault="00715662" w:rsidP="00715662">
      <w:pPr>
        <w:rPr>
          <w:rFonts w:ascii="Calibri" w:hAnsi="Calibri" w:cstheme="majorHAnsi"/>
          <w:lang w:val="el-GR"/>
        </w:rPr>
      </w:pPr>
    </w:p>
    <w:p w14:paraId="681EEF05" w14:textId="77777777" w:rsidR="00715662" w:rsidRPr="00CC1034" w:rsidRDefault="00715662" w:rsidP="00715662">
      <w:pPr>
        <w:rPr>
          <w:rFonts w:ascii="Calibri" w:hAnsi="Calibri" w:cstheme="majorHAnsi"/>
          <w:i/>
          <w:lang w:val="el-GR"/>
        </w:rPr>
      </w:pPr>
      <w:r w:rsidRPr="00CC1034">
        <w:rPr>
          <w:rFonts w:ascii="Calibri" w:hAnsi="Calibri" w:cstheme="majorHAnsi"/>
          <w:i/>
          <w:lang w:val="el-GR"/>
        </w:rPr>
        <w:t>Ξενόγλωσση</w:t>
      </w:r>
    </w:p>
    <w:p w14:paraId="3DF2A37C" w14:textId="1E35AEFC" w:rsidR="00BD1CB5" w:rsidRPr="0024391C" w:rsidRDefault="00BD1CB5" w:rsidP="00440406">
      <w:pPr>
        <w:spacing w:before="120"/>
        <w:jc w:val="both"/>
        <w:rPr>
          <w:rFonts w:ascii="Calibri" w:hAnsi="Calibri" w:cs="Calibri"/>
          <w:lang w:val="el-GR"/>
        </w:rPr>
      </w:pPr>
      <w:r w:rsidRPr="00793F80">
        <w:rPr>
          <w:rFonts w:ascii="Calibri" w:hAnsi="Calibri" w:cs="Calibri"/>
          <w:smallCaps/>
          <w:lang w:val="fr-BE"/>
        </w:rPr>
        <w:t>D</w:t>
      </w:r>
      <w:r w:rsidRPr="0024391C">
        <w:rPr>
          <w:rFonts w:ascii="Calibri" w:hAnsi="Calibri" w:cs="Calibri"/>
          <w:smallCaps/>
          <w:lang w:val="el-GR"/>
        </w:rPr>
        <w:t xml:space="preserve">. </w:t>
      </w:r>
      <w:r w:rsidRPr="00793F80">
        <w:rPr>
          <w:rFonts w:ascii="Calibri" w:hAnsi="Calibri" w:cs="Calibri"/>
          <w:smallCaps/>
          <w:lang w:val="fr-BE"/>
        </w:rPr>
        <w:t>Bosco</w:t>
      </w:r>
      <w:r w:rsidRPr="0024391C">
        <w:rPr>
          <w:rFonts w:ascii="Calibri" w:hAnsi="Calibri" w:cs="Calibri"/>
          <w:smallCaps/>
          <w:lang w:val="el-GR"/>
        </w:rPr>
        <w:t xml:space="preserve">, </w:t>
      </w:r>
      <w:r w:rsidRPr="00793F80">
        <w:rPr>
          <w:rFonts w:ascii="Calibri" w:hAnsi="Calibri" w:cs="Calibri"/>
          <w:smallCaps/>
          <w:lang w:val="fr-BE"/>
        </w:rPr>
        <w:t>A</w:t>
      </w:r>
      <w:r w:rsidRPr="0024391C">
        <w:rPr>
          <w:rFonts w:ascii="Calibri" w:hAnsi="Calibri" w:cs="Calibri"/>
          <w:smallCaps/>
          <w:lang w:val="el-GR"/>
        </w:rPr>
        <w:t xml:space="preserve">. </w:t>
      </w:r>
      <w:r w:rsidRPr="00793F80">
        <w:rPr>
          <w:rFonts w:ascii="Calibri" w:hAnsi="Calibri" w:cs="Calibri"/>
          <w:smallCaps/>
          <w:lang w:val="fr-BE"/>
        </w:rPr>
        <w:t>Prieto</w:t>
      </w:r>
      <w:r w:rsidRPr="0024391C">
        <w:rPr>
          <w:rFonts w:ascii="Calibri" w:hAnsi="Calibri" w:cs="Calibri"/>
          <w:lang w:val="el-GR"/>
        </w:rPr>
        <w:t xml:space="preserve">, </w:t>
      </w:r>
      <w:r w:rsidRPr="00CC1034">
        <w:rPr>
          <w:rFonts w:ascii="Calibri" w:hAnsi="Calibri" w:cs="Calibri"/>
          <w:lang w:val="fr-BE"/>
        </w:rPr>
        <w:t>Droit</w:t>
      </w:r>
      <w:r w:rsidRPr="0024391C">
        <w:rPr>
          <w:rFonts w:ascii="Calibri" w:hAnsi="Calibri" w:cs="Calibri"/>
          <w:lang w:val="el-GR"/>
        </w:rPr>
        <w:t xml:space="preserve"> </w:t>
      </w:r>
      <w:r w:rsidRPr="00CC1034">
        <w:rPr>
          <w:rFonts w:ascii="Calibri" w:hAnsi="Calibri" w:cs="Calibri"/>
          <w:lang w:val="fr-BE"/>
        </w:rPr>
        <w:t>europ</w:t>
      </w:r>
      <w:r w:rsidRPr="0024391C">
        <w:rPr>
          <w:rFonts w:ascii="Calibri" w:hAnsi="Calibri" w:cs="Calibri"/>
          <w:lang w:val="el-GR"/>
        </w:rPr>
        <w:t>é</w:t>
      </w:r>
      <w:r w:rsidRPr="00CC1034">
        <w:rPr>
          <w:rFonts w:ascii="Calibri" w:hAnsi="Calibri" w:cs="Calibri"/>
          <w:lang w:val="fr-BE"/>
        </w:rPr>
        <w:t>en</w:t>
      </w:r>
      <w:r w:rsidRPr="0024391C">
        <w:rPr>
          <w:rFonts w:ascii="Calibri" w:hAnsi="Calibri" w:cs="Calibri"/>
          <w:lang w:val="el-GR"/>
        </w:rPr>
        <w:t xml:space="preserve"> </w:t>
      </w:r>
      <w:r w:rsidRPr="00CC1034">
        <w:rPr>
          <w:rFonts w:ascii="Calibri" w:hAnsi="Calibri" w:cs="Calibri"/>
          <w:lang w:val="fr-BE"/>
        </w:rPr>
        <w:t>de</w:t>
      </w:r>
      <w:r w:rsidRPr="0024391C">
        <w:rPr>
          <w:rFonts w:ascii="Calibri" w:hAnsi="Calibri" w:cs="Calibri"/>
          <w:lang w:val="el-GR"/>
        </w:rPr>
        <w:t xml:space="preserve"> </w:t>
      </w:r>
      <w:r w:rsidRPr="00CC1034">
        <w:rPr>
          <w:rFonts w:ascii="Calibri" w:hAnsi="Calibri" w:cs="Calibri"/>
          <w:lang w:val="fr-BE"/>
        </w:rPr>
        <w:t>la</w:t>
      </w:r>
      <w:r w:rsidRPr="0024391C">
        <w:rPr>
          <w:rFonts w:ascii="Calibri" w:hAnsi="Calibri" w:cs="Calibri"/>
          <w:lang w:val="el-GR"/>
        </w:rPr>
        <w:t xml:space="preserve"> </w:t>
      </w:r>
      <w:r w:rsidRPr="00CC1034">
        <w:rPr>
          <w:rFonts w:ascii="Calibri" w:hAnsi="Calibri" w:cs="Calibri"/>
          <w:lang w:val="fr-BE"/>
        </w:rPr>
        <w:t>concurrence</w:t>
      </w:r>
      <w:r w:rsidRPr="0024391C">
        <w:rPr>
          <w:rFonts w:ascii="Calibri" w:hAnsi="Calibri" w:cs="Calibri"/>
          <w:lang w:val="el-GR"/>
        </w:rPr>
        <w:t xml:space="preserve">, </w:t>
      </w:r>
      <w:r w:rsidRPr="00CC1034">
        <w:rPr>
          <w:rStyle w:val="listeouvragelibelle"/>
          <w:rFonts w:ascii="Calibri" w:hAnsi="Calibri" w:cs="Calibri"/>
          <w:lang w:val="fr-BE"/>
        </w:rPr>
        <w:t>Ententes</w:t>
      </w:r>
      <w:r w:rsidRPr="0024391C">
        <w:rPr>
          <w:rStyle w:val="listeouvragelibelle"/>
          <w:rFonts w:ascii="Calibri" w:hAnsi="Calibri" w:cs="Calibri"/>
          <w:lang w:val="el-GR"/>
        </w:rPr>
        <w:t xml:space="preserve"> </w:t>
      </w:r>
      <w:r w:rsidRPr="00CC1034">
        <w:rPr>
          <w:rStyle w:val="listeouvragelibelle"/>
          <w:rFonts w:ascii="Calibri" w:hAnsi="Calibri" w:cs="Calibri"/>
          <w:lang w:val="fr-BE"/>
        </w:rPr>
        <w:t>et</w:t>
      </w:r>
      <w:r w:rsidRPr="0024391C">
        <w:rPr>
          <w:rStyle w:val="listeouvragelibelle"/>
          <w:rFonts w:ascii="Calibri" w:hAnsi="Calibri" w:cs="Calibri"/>
          <w:lang w:val="el-GR"/>
        </w:rPr>
        <w:t xml:space="preserve"> </w:t>
      </w:r>
      <w:r w:rsidRPr="00CC1034">
        <w:rPr>
          <w:rStyle w:val="listeouvragelibelle"/>
          <w:rFonts w:ascii="Calibri" w:hAnsi="Calibri" w:cs="Calibri"/>
          <w:lang w:val="fr-BE"/>
        </w:rPr>
        <w:t>abus</w:t>
      </w:r>
      <w:r w:rsidRPr="0024391C">
        <w:rPr>
          <w:rStyle w:val="listeouvragelibelle"/>
          <w:rFonts w:ascii="Calibri" w:hAnsi="Calibri" w:cs="Calibri"/>
          <w:lang w:val="el-GR"/>
        </w:rPr>
        <w:t xml:space="preserve"> </w:t>
      </w:r>
      <w:r w:rsidRPr="00CC1034">
        <w:rPr>
          <w:rStyle w:val="listeouvragelibelle"/>
          <w:rFonts w:ascii="Calibri" w:hAnsi="Calibri" w:cs="Calibri"/>
          <w:lang w:val="fr-BE"/>
        </w:rPr>
        <w:t>de</w:t>
      </w:r>
      <w:r w:rsidRPr="0024391C">
        <w:rPr>
          <w:rStyle w:val="listeouvragelibelle"/>
          <w:rFonts w:ascii="Calibri" w:hAnsi="Calibri" w:cs="Calibri"/>
          <w:lang w:val="el-GR"/>
        </w:rPr>
        <w:t xml:space="preserve"> </w:t>
      </w:r>
      <w:r w:rsidRPr="00CC1034">
        <w:rPr>
          <w:rStyle w:val="listeouvragelibelle"/>
          <w:rFonts w:ascii="Calibri" w:hAnsi="Calibri" w:cs="Calibri"/>
          <w:lang w:val="fr-BE"/>
        </w:rPr>
        <w:t>position</w:t>
      </w:r>
      <w:r w:rsidRPr="0024391C">
        <w:rPr>
          <w:rStyle w:val="listeouvragelibelle"/>
          <w:rFonts w:ascii="Calibri" w:hAnsi="Calibri" w:cs="Calibri"/>
          <w:lang w:val="el-GR"/>
        </w:rPr>
        <w:t xml:space="preserve"> </w:t>
      </w:r>
      <w:r w:rsidRPr="00CC1034">
        <w:rPr>
          <w:rStyle w:val="listeouvragelibelle"/>
          <w:rFonts w:ascii="Calibri" w:hAnsi="Calibri" w:cs="Calibri"/>
          <w:lang w:val="fr-BE"/>
        </w:rPr>
        <w:t>dominante</w:t>
      </w:r>
      <w:r w:rsidRPr="0024391C">
        <w:rPr>
          <w:rStyle w:val="listeouvragelibelle"/>
          <w:rFonts w:ascii="Calibri" w:hAnsi="Calibri" w:cs="Calibri"/>
          <w:lang w:val="el-GR"/>
        </w:rPr>
        <w:t xml:space="preserve">, </w:t>
      </w:r>
      <w:r w:rsidRPr="00CC1034">
        <w:rPr>
          <w:rStyle w:val="listeouvragelibelle"/>
          <w:rFonts w:ascii="Calibri" w:hAnsi="Calibri" w:cs="Calibri"/>
          <w:lang w:val="fr-BE"/>
        </w:rPr>
        <w:t>Bruylant</w:t>
      </w:r>
      <w:r w:rsidRPr="0024391C">
        <w:rPr>
          <w:rStyle w:val="listeouvragelibelle"/>
          <w:rFonts w:ascii="Calibri" w:hAnsi="Calibri" w:cs="Calibri"/>
          <w:lang w:val="el-GR"/>
        </w:rPr>
        <w:t>, 2014</w:t>
      </w:r>
    </w:p>
    <w:p w14:paraId="084950F8" w14:textId="0EBC615D" w:rsidR="00BD1CB5" w:rsidRPr="00CC1034" w:rsidRDefault="00BD1CB5" w:rsidP="00BD1CB5">
      <w:pPr>
        <w:jc w:val="both"/>
        <w:rPr>
          <w:rFonts w:ascii="Calibri" w:hAnsi="Calibri" w:cs="Calibri"/>
          <w:lang w:val="fr-BE"/>
        </w:rPr>
      </w:pPr>
      <w:r w:rsidRPr="00793F80">
        <w:rPr>
          <w:rFonts w:ascii="Calibri" w:hAnsi="Calibri" w:cs="Calibri"/>
          <w:smallCaps/>
          <w:lang w:val="fr-BE"/>
        </w:rPr>
        <w:t>G. Decocq, A. Decocq</w:t>
      </w:r>
      <w:r w:rsidRPr="00CC1034">
        <w:rPr>
          <w:rFonts w:ascii="Calibri" w:hAnsi="Calibri" w:cs="Calibri"/>
          <w:lang w:val="fr-BE"/>
        </w:rPr>
        <w:t>, Droit de la concurrence, Droit interne et droit de l'Union européenne, 7</w:t>
      </w:r>
      <w:r w:rsidRPr="00CC1034">
        <w:rPr>
          <w:rFonts w:ascii="Calibri" w:hAnsi="Calibri" w:cs="Calibri"/>
          <w:vertAlign w:val="superscript"/>
          <w:lang w:val="fr-BE"/>
        </w:rPr>
        <w:t>e</w:t>
      </w:r>
      <w:r w:rsidRPr="00CC1034">
        <w:rPr>
          <w:rFonts w:ascii="Calibri" w:hAnsi="Calibri" w:cs="Calibri"/>
          <w:lang w:val="fr-BE"/>
        </w:rPr>
        <w:t xml:space="preserve"> éd., LGDJ, 2016</w:t>
      </w:r>
    </w:p>
    <w:p w14:paraId="1E50576E" w14:textId="0E3F67E9" w:rsidR="00C82F24" w:rsidRPr="00CC1034" w:rsidRDefault="00780A0E" w:rsidP="00BD1CB5">
      <w:pPr>
        <w:jc w:val="both"/>
        <w:rPr>
          <w:rFonts w:ascii="Calibri" w:hAnsi="Calibri"/>
          <w:lang w:val="en-GB"/>
        </w:rPr>
      </w:pPr>
      <w:r w:rsidRPr="00793F80">
        <w:rPr>
          <w:rStyle w:val="st"/>
          <w:rFonts w:ascii="Calibri" w:eastAsia="Times New Roman" w:hAnsi="Calibri" w:cs="Times New Roman"/>
          <w:smallCaps/>
        </w:rPr>
        <w:t>D</w:t>
      </w:r>
      <w:r w:rsidRPr="00793F80">
        <w:rPr>
          <w:rStyle w:val="st"/>
          <w:rFonts w:ascii="Calibri" w:eastAsia="Times New Roman" w:hAnsi="Calibri" w:cs="Times New Roman"/>
          <w:smallCaps/>
          <w:lang w:val="en-GB"/>
        </w:rPr>
        <w:t xml:space="preserve">. </w:t>
      </w:r>
      <w:r w:rsidR="007E74E9" w:rsidRPr="00793F80">
        <w:rPr>
          <w:rStyle w:val="st"/>
          <w:rFonts w:ascii="Calibri" w:eastAsia="Times New Roman" w:hAnsi="Calibri" w:cs="Times New Roman"/>
          <w:smallCaps/>
        </w:rPr>
        <w:t>Geradin</w:t>
      </w:r>
      <w:r w:rsidR="007E74E9" w:rsidRPr="00793F80">
        <w:rPr>
          <w:rStyle w:val="st"/>
          <w:rFonts w:ascii="Calibri" w:eastAsia="Times New Roman" w:hAnsi="Calibri" w:cs="Times New Roman"/>
          <w:smallCaps/>
          <w:lang w:val="en-GB"/>
        </w:rPr>
        <w:t xml:space="preserve">, </w:t>
      </w:r>
      <w:r w:rsidRPr="00793F80">
        <w:rPr>
          <w:rStyle w:val="st"/>
          <w:rFonts w:ascii="Calibri" w:eastAsia="Times New Roman" w:hAnsi="Calibri" w:cs="Times New Roman"/>
          <w:smallCaps/>
          <w:lang w:val="en-GB"/>
        </w:rPr>
        <w:t xml:space="preserve">A. </w:t>
      </w:r>
      <w:r w:rsidR="007E74E9" w:rsidRPr="00793F80">
        <w:rPr>
          <w:rStyle w:val="st"/>
          <w:rFonts w:ascii="Calibri" w:eastAsia="Times New Roman" w:hAnsi="Calibri" w:cs="Times New Roman"/>
          <w:smallCaps/>
        </w:rPr>
        <w:t>Layne</w:t>
      </w:r>
      <w:r w:rsidR="007E74E9" w:rsidRPr="00793F80">
        <w:rPr>
          <w:rStyle w:val="st"/>
          <w:rFonts w:ascii="Calibri" w:eastAsia="Times New Roman" w:hAnsi="Calibri" w:cs="Times New Roman"/>
          <w:smallCaps/>
          <w:lang w:val="en-GB"/>
        </w:rPr>
        <w:t>-</w:t>
      </w:r>
      <w:r w:rsidR="007E74E9" w:rsidRPr="00793F80">
        <w:rPr>
          <w:rStyle w:val="st"/>
          <w:rFonts w:ascii="Calibri" w:eastAsia="Times New Roman" w:hAnsi="Calibri" w:cs="Times New Roman"/>
          <w:smallCaps/>
        </w:rPr>
        <w:t>Farrar</w:t>
      </w:r>
      <w:r w:rsidRPr="00793F80">
        <w:rPr>
          <w:rStyle w:val="st"/>
          <w:rFonts w:ascii="Calibri" w:eastAsia="Times New Roman" w:hAnsi="Calibri" w:cs="Times New Roman"/>
          <w:smallCaps/>
          <w:lang w:val="en-GB"/>
        </w:rPr>
        <w:t>,</w:t>
      </w:r>
      <w:r w:rsidR="007E74E9" w:rsidRPr="00793F80">
        <w:rPr>
          <w:rStyle w:val="st"/>
          <w:rFonts w:ascii="Calibri" w:eastAsia="Times New Roman" w:hAnsi="Calibri" w:cs="Times New Roman"/>
          <w:smallCaps/>
          <w:lang w:val="en-GB"/>
        </w:rPr>
        <w:t xml:space="preserve"> </w:t>
      </w:r>
      <w:r w:rsidRPr="00793F80">
        <w:rPr>
          <w:rStyle w:val="st"/>
          <w:rFonts w:ascii="Calibri" w:eastAsia="Times New Roman" w:hAnsi="Calibri" w:cs="Times New Roman"/>
          <w:smallCaps/>
          <w:lang w:val="en-GB"/>
        </w:rPr>
        <w:t xml:space="preserve">N. </w:t>
      </w:r>
      <w:r w:rsidR="007E74E9" w:rsidRPr="00793F80">
        <w:rPr>
          <w:rStyle w:val="st"/>
          <w:rFonts w:ascii="Calibri" w:eastAsia="Times New Roman" w:hAnsi="Calibri" w:cs="Times New Roman"/>
          <w:smallCaps/>
        </w:rPr>
        <w:t>Petit</w:t>
      </w:r>
      <w:r w:rsidRPr="00CC1034">
        <w:rPr>
          <w:rStyle w:val="st"/>
          <w:rFonts w:ascii="Calibri" w:eastAsia="Times New Roman" w:hAnsi="Calibri" w:cs="Times New Roman"/>
        </w:rPr>
        <w:t>,</w:t>
      </w:r>
      <w:r w:rsidR="007E74E9" w:rsidRPr="00CC1034">
        <w:rPr>
          <w:rStyle w:val="st"/>
          <w:rFonts w:ascii="Calibri" w:eastAsia="Times New Roman" w:hAnsi="Calibri" w:cs="Times New Roman"/>
          <w:lang w:val="en-GB"/>
        </w:rPr>
        <w:t xml:space="preserve"> </w:t>
      </w:r>
      <w:r w:rsidR="007E74E9" w:rsidRPr="00CC1034">
        <w:rPr>
          <w:rStyle w:val="Emphasis"/>
          <w:rFonts w:ascii="Calibri" w:eastAsia="Times New Roman" w:hAnsi="Calibri" w:cs="Times New Roman"/>
          <w:i w:val="0"/>
        </w:rPr>
        <w:t>EU</w:t>
      </w:r>
      <w:r w:rsidR="007E74E9" w:rsidRPr="00CC1034">
        <w:rPr>
          <w:rStyle w:val="Emphasis"/>
          <w:rFonts w:ascii="Calibri" w:eastAsia="Times New Roman" w:hAnsi="Calibri" w:cs="Times New Roman"/>
          <w:i w:val="0"/>
          <w:lang w:val="en-GB"/>
        </w:rPr>
        <w:t xml:space="preserve"> </w:t>
      </w:r>
      <w:r w:rsidR="007E74E9" w:rsidRPr="00CC1034">
        <w:rPr>
          <w:rStyle w:val="Emphasis"/>
          <w:rFonts w:ascii="Calibri" w:eastAsia="Times New Roman" w:hAnsi="Calibri" w:cs="Times New Roman"/>
          <w:i w:val="0"/>
        </w:rPr>
        <w:t>Competition</w:t>
      </w:r>
      <w:r w:rsidR="007E74E9" w:rsidRPr="00CC1034">
        <w:rPr>
          <w:rStyle w:val="Emphasis"/>
          <w:rFonts w:ascii="Calibri" w:eastAsia="Times New Roman" w:hAnsi="Calibri" w:cs="Times New Roman"/>
          <w:i w:val="0"/>
          <w:lang w:val="en-GB"/>
        </w:rPr>
        <w:t xml:space="preserve"> </w:t>
      </w:r>
      <w:r w:rsidR="007E74E9" w:rsidRPr="00CC1034">
        <w:rPr>
          <w:rStyle w:val="Emphasis"/>
          <w:rFonts w:ascii="Calibri" w:eastAsia="Times New Roman" w:hAnsi="Calibri" w:cs="Times New Roman"/>
          <w:i w:val="0"/>
        </w:rPr>
        <w:t>Law</w:t>
      </w:r>
      <w:r w:rsidR="007E74E9" w:rsidRPr="00CC1034">
        <w:rPr>
          <w:rStyle w:val="st"/>
          <w:rFonts w:ascii="Calibri" w:eastAsia="Times New Roman" w:hAnsi="Calibri" w:cs="Times New Roman"/>
          <w:lang w:val="en-GB"/>
        </w:rPr>
        <w:t xml:space="preserve"> </w:t>
      </w:r>
      <w:r w:rsidR="007E74E9" w:rsidRPr="00CC1034">
        <w:rPr>
          <w:rStyle w:val="st"/>
          <w:rFonts w:ascii="Calibri" w:eastAsia="Times New Roman" w:hAnsi="Calibri" w:cs="Times New Roman"/>
        </w:rPr>
        <w:t>and</w:t>
      </w:r>
      <w:r w:rsidR="007E74E9" w:rsidRPr="00CC1034">
        <w:rPr>
          <w:rStyle w:val="st"/>
          <w:rFonts w:ascii="Calibri" w:eastAsia="Times New Roman" w:hAnsi="Calibri" w:cs="Times New Roman"/>
          <w:lang w:val="en-GB"/>
        </w:rPr>
        <w:t xml:space="preserve"> </w:t>
      </w:r>
      <w:r w:rsidR="007E74E9" w:rsidRPr="00CC1034">
        <w:rPr>
          <w:rStyle w:val="st"/>
          <w:rFonts w:ascii="Calibri" w:eastAsia="Times New Roman" w:hAnsi="Calibri" w:cs="Times New Roman"/>
        </w:rPr>
        <w:t>Economics</w:t>
      </w:r>
      <w:r w:rsidRPr="00CC1034">
        <w:rPr>
          <w:rStyle w:val="st"/>
          <w:rFonts w:ascii="Calibri" w:eastAsia="Times New Roman" w:hAnsi="Calibri" w:cs="Times New Roman"/>
          <w:lang w:val="en-GB"/>
        </w:rPr>
        <w:t xml:space="preserve">, </w:t>
      </w:r>
      <w:r w:rsidRPr="00CC1034">
        <w:rPr>
          <w:rFonts w:ascii="Calibri" w:eastAsia="Times New Roman" w:hAnsi="Calibri" w:cs="Times New Roman"/>
        </w:rPr>
        <w:t>Oxford University Press</w:t>
      </w:r>
      <w:r w:rsidR="00793F80" w:rsidRPr="00793F80">
        <w:rPr>
          <w:rFonts w:ascii="Calibri" w:eastAsia="Times New Roman" w:hAnsi="Calibri" w:cs="Times New Roman"/>
          <w:lang w:val="en-GB"/>
        </w:rPr>
        <w:t>,</w:t>
      </w:r>
      <w:r w:rsidRPr="00CC1034">
        <w:rPr>
          <w:rFonts w:ascii="Calibri" w:eastAsia="Times New Roman" w:hAnsi="Calibri" w:cs="Times New Roman"/>
        </w:rPr>
        <w:t xml:space="preserve"> </w:t>
      </w:r>
      <w:r w:rsidR="007E74E9" w:rsidRPr="00CC1034">
        <w:rPr>
          <w:rStyle w:val="st"/>
          <w:rFonts w:ascii="Calibri" w:eastAsia="Times New Roman" w:hAnsi="Calibri" w:cs="Times New Roman"/>
          <w:lang w:val="en-GB"/>
        </w:rPr>
        <w:t>2012</w:t>
      </w:r>
    </w:p>
    <w:p w14:paraId="66937B83" w14:textId="4F89344D" w:rsidR="00E77B11" w:rsidRPr="00CC1034" w:rsidRDefault="00E77B11" w:rsidP="00E77B11">
      <w:pPr>
        <w:rPr>
          <w:rFonts w:ascii="Calibri" w:hAnsi="Calibri" w:cs="Calibri"/>
          <w:lang w:val="de-DE"/>
        </w:rPr>
      </w:pPr>
      <w:r w:rsidRPr="00793F80">
        <w:rPr>
          <w:rFonts w:ascii="Calibri" w:hAnsi="Calibri" w:cs="Calibri"/>
          <w:smallCaps/>
          <w:lang w:val="de-DE"/>
        </w:rPr>
        <w:t>U. Immenga, E-J. Mestmäcker</w:t>
      </w:r>
      <w:r w:rsidRPr="00CC1034">
        <w:rPr>
          <w:rFonts w:ascii="Calibri" w:hAnsi="Calibri" w:cs="Calibri"/>
          <w:lang w:val="de-DE"/>
        </w:rPr>
        <w:t>, Wettbewerbsrecht, 5 Auflage, Beck, 2016</w:t>
      </w:r>
    </w:p>
    <w:p w14:paraId="2D13D4A0" w14:textId="5D0AE883" w:rsidR="00E77B11" w:rsidRPr="00CC1034" w:rsidRDefault="00E77B11" w:rsidP="00E77B11">
      <w:pPr>
        <w:rPr>
          <w:rFonts w:ascii="Calibri" w:hAnsi="Calibri" w:cs="Calibri"/>
        </w:rPr>
      </w:pPr>
      <w:r w:rsidRPr="00793F80">
        <w:rPr>
          <w:rStyle w:val="fn"/>
          <w:rFonts w:ascii="Calibri" w:hAnsi="Calibri" w:cs="Calibri"/>
          <w:smallCaps/>
        </w:rPr>
        <w:t>I. Lianos, D. Geradin</w:t>
      </w:r>
      <w:r w:rsidRPr="00CC1034">
        <w:rPr>
          <w:rStyle w:val="fn"/>
          <w:rFonts w:ascii="Calibri" w:hAnsi="Calibri" w:cs="Calibri"/>
        </w:rPr>
        <w:t>, Handbook on European Competition Law</w:t>
      </w:r>
      <w:r w:rsidRPr="00CC1034">
        <w:rPr>
          <w:rFonts w:ascii="Calibri" w:hAnsi="Calibri" w:cs="Calibri"/>
        </w:rPr>
        <w:t xml:space="preserve">: </w:t>
      </w:r>
      <w:r w:rsidRPr="00CC1034">
        <w:rPr>
          <w:rStyle w:val="Subtitle1"/>
          <w:rFonts w:ascii="Calibri" w:hAnsi="Calibri" w:cs="Calibri"/>
        </w:rPr>
        <w:t xml:space="preserve">Substantive Aspects, </w:t>
      </w:r>
      <w:r w:rsidRPr="00CC1034">
        <w:rPr>
          <w:rFonts w:ascii="Calibri" w:hAnsi="Calibri" w:cs="Calibri"/>
        </w:rPr>
        <w:t xml:space="preserve">Edward Elgar Publishing, </w:t>
      </w:r>
      <w:r w:rsidRPr="00CC1034">
        <w:rPr>
          <w:rStyle w:val="Subtitle1"/>
          <w:rFonts w:ascii="Calibri" w:hAnsi="Calibri" w:cs="Calibri"/>
        </w:rPr>
        <w:t>2013</w:t>
      </w:r>
    </w:p>
    <w:p w14:paraId="11BCE4A5" w14:textId="2CDB7DC6" w:rsidR="00BD1CB5" w:rsidRPr="00CC1034" w:rsidRDefault="00BD1CB5" w:rsidP="00E50C5C">
      <w:pPr>
        <w:jc w:val="both"/>
        <w:rPr>
          <w:rStyle w:val="book-title"/>
          <w:rFonts w:ascii="Calibri" w:eastAsia="Times New Roman" w:hAnsi="Calibri" w:cs="Times New Roman"/>
          <w:lang w:val="fr-BE"/>
        </w:rPr>
      </w:pPr>
      <w:r w:rsidRPr="00793F80">
        <w:rPr>
          <w:rStyle w:val="book-title"/>
          <w:rFonts w:ascii="Calibri" w:eastAsia="Times New Roman" w:hAnsi="Calibri" w:cs="Times New Roman"/>
          <w:smallCaps/>
          <w:lang w:val="fr-BE"/>
        </w:rPr>
        <w:t xml:space="preserve">M. Malaurie-Vignal, </w:t>
      </w:r>
      <w:r w:rsidRPr="00CC1034">
        <w:rPr>
          <w:rStyle w:val="book-title"/>
          <w:rFonts w:ascii="Calibri" w:eastAsia="Times New Roman" w:hAnsi="Calibri" w:cs="Times New Roman"/>
          <w:lang w:val="fr-BE"/>
        </w:rPr>
        <w:t>Droit de la concurrence interne et européen, 4</w:t>
      </w:r>
      <w:r w:rsidRPr="00CC1034">
        <w:rPr>
          <w:rStyle w:val="book-title"/>
          <w:rFonts w:ascii="Calibri" w:eastAsia="Times New Roman" w:hAnsi="Calibri" w:cs="Times New Roman"/>
          <w:vertAlign w:val="superscript"/>
          <w:lang w:val="fr-BE"/>
        </w:rPr>
        <w:t>ème</w:t>
      </w:r>
      <w:r w:rsidRPr="00CC1034">
        <w:rPr>
          <w:rStyle w:val="book-title"/>
          <w:rFonts w:ascii="Calibri" w:eastAsia="Times New Roman" w:hAnsi="Calibri" w:cs="Times New Roman"/>
          <w:lang w:val="fr-BE"/>
        </w:rPr>
        <w:t xml:space="preserve"> éd, Dalloz, 2016</w:t>
      </w:r>
    </w:p>
    <w:p w14:paraId="5D241B6B" w14:textId="7C7CAE1C" w:rsidR="00E50C5C" w:rsidRPr="00CC1034" w:rsidRDefault="00E50C5C" w:rsidP="00E50C5C">
      <w:pPr>
        <w:jc w:val="both"/>
        <w:rPr>
          <w:rStyle w:val="book-title"/>
          <w:rFonts w:ascii="Calibri" w:eastAsia="Times New Roman" w:hAnsi="Calibri" w:cs="Times New Roman"/>
          <w:lang w:val="en-GB"/>
        </w:rPr>
      </w:pPr>
      <w:r w:rsidRPr="00793F80">
        <w:rPr>
          <w:rStyle w:val="book-title"/>
          <w:rFonts w:ascii="Calibri" w:eastAsia="Times New Roman" w:hAnsi="Calibri" w:cs="Times New Roman"/>
          <w:smallCaps/>
        </w:rPr>
        <w:t>A</w:t>
      </w:r>
      <w:r w:rsidRPr="00793F80">
        <w:rPr>
          <w:rStyle w:val="book-title"/>
          <w:rFonts w:ascii="Calibri" w:eastAsia="Times New Roman" w:hAnsi="Calibri" w:cs="Times New Roman"/>
          <w:smallCaps/>
          <w:lang w:val="en-GB"/>
        </w:rPr>
        <w:t xml:space="preserve">. </w:t>
      </w:r>
      <w:r w:rsidRPr="00793F80">
        <w:rPr>
          <w:rStyle w:val="book-title"/>
          <w:rFonts w:ascii="Calibri" w:eastAsia="Times New Roman" w:hAnsi="Calibri" w:cs="Times New Roman"/>
          <w:smallCaps/>
        </w:rPr>
        <w:t>Jones</w:t>
      </w:r>
      <w:r w:rsidRPr="00793F80">
        <w:rPr>
          <w:rStyle w:val="book-title"/>
          <w:rFonts w:ascii="Calibri" w:eastAsia="Times New Roman" w:hAnsi="Calibri" w:cs="Times New Roman"/>
          <w:smallCaps/>
          <w:lang w:val="en-GB"/>
        </w:rPr>
        <w:t xml:space="preserve">, </w:t>
      </w:r>
      <w:r w:rsidRPr="00793F80">
        <w:rPr>
          <w:rStyle w:val="book-title"/>
          <w:rFonts w:ascii="Calibri" w:eastAsia="Times New Roman" w:hAnsi="Calibri" w:cs="Times New Roman"/>
          <w:smallCaps/>
        </w:rPr>
        <w:t>B</w:t>
      </w:r>
      <w:r w:rsidRPr="00793F80">
        <w:rPr>
          <w:rStyle w:val="book-title"/>
          <w:rFonts w:ascii="Calibri" w:eastAsia="Times New Roman" w:hAnsi="Calibri" w:cs="Times New Roman"/>
          <w:smallCaps/>
          <w:lang w:val="en-GB"/>
        </w:rPr>
        <w:t xml:space="preserve">. </w:t>
      </w:r>
      <w:r w:rsidRPr="00793F80">
        <w:rPr>
          <w:rStyle w:val="book-title"/>
          <w:rFonts w:ascii="Calibri" w:eastAsia="Times New Roman" w:hAnsi="Calibri" w:cs="Times New Roman"/>
          <w:smallCaps/>
        </w:rPr>
        <w:t>Suffrin</w:t>
      </w:r>
      <w:r w:rsidRPr="00CC1034">
        <w:rPr>
          <w:rStyle w:val="book-title"/>
          <w:rFonts w:ascii="Calibri" w:eastAsia="Times New Roman" w:hAnsi="Calibri" w:cs="Times New Roman"/>
          <w:lang w:val="en-GB"/>
        </w:rPr>
        <w:t xml:space="preserve">, </w:t>
      </w:r>
      <w:r w:rsidRPr="00CC1034">
        <w:rPr>
          <w:rStyle w:val="book-title"/>
          <w:rFonts w:ascii="Calibri" w:eastAsia="Times New Roman" w:hAnsi="Calibri" w:cs="Times New Roman"/>
        </w:rPr>
        <w:t>EU</w:t>
      </w:r>
      <w:r w:rsidRPr="00CC1034">
        <w:rPr>
          <w:rStyle w:val="book-title"/>
          <w:rFonts w:ascii="Calibri" w:eastAsia="Times New Roman" w:hAnsi="Calibri" w:cs="Times New Roman"/>
          <w:lang w:val="en-GB"/>
        </w:rPr>
        <w:t xml:space="preserve"> </w:t>
      </w:r>
      <w:r w:rsidRPr="00CC1034">
        <w:rPr>
          <w:rStyle w:val="book-title"/>
          <w:rFonts w:ascii="Calibri" w:eastAsia="Times New Roman" w:hAnsi="Calibri" w:cs="Times New Roman"/>
        </w:rPr>
        <w:t>Competition</w:t>
      </w:r>
      <w:r w:rsidRPr="00CC1034">
        <w:rPr>
          <w:rStyle w:val="book-title"/>
          <w:rFonts w:ascii="Calibri" w:eastAsia="Times New Roman" w:hAnsi="Calibri" w:cs="Times New Roman"/>
          <w:lang w:val="en-GB"/>
        </w:rPr>
        <w:t xml:space="preserve"> </w:t>
      </w:r>
      <w:r w:rsidR="00780A0E" w:rsidRPr="00CC1034">
        <w:rPr>
          <w:rStyle w:val="book-title"/>
          <w:rFonts w:ascii="Calibri" w:eastAsia="Times New Roman" w:hAnsi="Calibri" w:cs="Times New Roman"/>
        </w:rPr>
        <w:t>Law</w:t>
      </w:r>
      <w:r w:rsidR="00780A0E" w:rsidRPr="00CC1034">
        <w:rPr>
          <w:rStyle w:val="book-title"/>
          <w:rFonts w:ascii="Calibri" w:eastAsia="Times New Roman" w:hAnsi="Calibri" w:cs="Times New Roman"/>
          <w:lang w:val="en-GB"/>
        </w:rPr>
        <w:t xml:space="preserve">: </w:t>
      </w:r>
      <w:r w:rsidR="00780A0E" w:rsidRPr="00CC1034">
        <w:rPr>
          <w:rStyle w:val="book-title"/>
          <w:rFonts w:ascii="Calibri" w:eastAsia="Times New Roman" w:hAnsi="Calibri" w:cs="Times New Roman"/>
        </w:rPr>
        <w:t>Text</w:t>
      </w:r>
      <w:r w:rsidR="00780A0E" w:rsidRPr="00CC1034">
        <w:rPr>
          <w:rStyle w:val="book-title"/>
          <w:rFonts w:ascii="Calibri" w:eastAsia="Times New Roman" w:hAnsi="Calibri" w:cs="Times New Roman"/>
          <w:lang w:val="en-GB"/>
        </w:rPr>
        <w:t xml:space="preserve">, </w:t>
      </w:r>
      <w:r w:rsidR="00780A0E" w:rsidRPr="00CC1034">
        <w:rPr>
          <w:rStyle w:val="book-title"/>
          <w:rFonts w:ascii="Calibri" w:eastAsia="Times New Roman" w:hAnsi="Calibri" w:cs="Times New Roman"/>
        </w:rPr>
        <w:t>Cases</w:t>
      </w:r>
      <w:r w:rsidR="00780A0E" w:rsidRPr="00CC1034">
        <w:rPr>
          <w:rStyle w:val="book-title"/>
          <w:rFonts w:ascii="Calibri" w:eastAsia="Times New Roman" w:hAnsi="Calibri" w:cs="Times New Roman"/>
          <w:lang w:val="en-GB"/>
        </w:rPr>
        <w:t xml:space="preserve">, </w:t>
      </w:r>
      <w:r w:rsidR="00780A0E" w:rsidRPr="00CC1034">
        <w:rPr>
          <w:rStyle w:val="book-title"/>
          <w:rFonts w:ascii="Calibri" w:eastAsia="Times New Roman" w:hAnsi="Calibri" w:cs="Times New Roman"/>
        </w:rPr>
        <w:t>and</w:t>
      </w:r>
      <w:r w:rsidR="00780A0E" w:rsidRPr="00CC1034">
        <w:rPr>
          <w:rStyle w:val="book-title"/>
          <w:rFonts w:ascii="Calibri" w:eastAsia="Times New Roman" w:hAnsi="Calibri" w:cs="Times New Roman"/>
          <w:lang w:val="en-GB"/>
        </w:rPr>
        <w:t xml:space="preserve"> </w:t>
      </w:r>
      <w:r w:rsidR="00780A0E" w:rsidRPr="00CC1034">
        <w:rPr>
          <w:rStyle w:val="book-title"/>
          <w:rFonts w:ascii="Calibri" w:eastAsia="Times New Roman" w:hAnsi="Calibri" w:cs="Times New Roman"/>
        </w:rPr>
        <w:t>Materials</w:t>
      </w:r>
      <w:r w:rsidR="00780A0E" w:rsidRPr="00CC1034">
        <w:rPr>
          <w:rStyle w:val="book-title"/>
          <w:rFonts w:ascii="Calibri" w:eastAsia="Times New Roman" w:hAnsi="Calibri" w:cs="Times New Roman"/>
          <w:lang w:val="en-GB"/>
        </w:rPr>
        <w:t xml:space="preserve">, 6th ed., </w:t>
      </w:r>
      <w:r w:rsidR="00780A0E" w:rsidRPr="00CC1034">
        <w:rPr>
          <w:rFonts w:ascii="Calibri" w:eastAsia="Times New Roman" w:hAnsi="Calibri" w:cs="Times New Roman"/>
        </w:rPr>
        <w:t>Oxford University Press</w:t>
      </w:r>
      <w:r w:rsidR="00780A0E" w:rsidRPr="00CC1034">
        <w:rPr>
          <w:rStyle w:val="book-title"/>
          <w:rFonts w:ascii="Calibri" w:eastAsia="Times New Roman" w:hAnsi="Calibri" w:cs="Times New Roman"/>
          <w:lang w:val="en-GB"/>
        </w:rPr>
        <w:t>, 2016</w:t>
      </w:r>
    </w:p>
    <w:p w14:paraId="0A1DA372" w14:textId="2A8C4092" w:rsidR="00E77B11" w:rsidRPr="00CC1034" w:rsidRDefault="00E77B11" w:rsidP="00E50C5C">
      <w:pPr>
        <w:jc w:val="both"/>
        <w:rPr>
          <w:rFonts w:ascii="Calibri" w:hAnsi="Calibri"/>
          <w:lang w:val="en-GB"/>
        </w:rPr>
      </w:pPr>
      <w:r w:rsidRPr="00793F80">
        <w:rPr>
          <w:rStyle w:val="book-title"/>
          <w:rFonts w:ascii="Calibri" w:eastAsia="Times New Roman" w:hAnsi="Calibri" w:cs="Times New Roman"/>
          <w:smallCaps/>
          <w:lang w:val="en-GB"/>
        </w:rPr>
        <w:t>R. Whish, D. Bailey</w:t>
      </w:r>
      <w:r w:rsidRPr="00CC1034">
        <w:rPr>
          <w:rStyle w:val="book-title"/>
          <w:rFonts w:ascii="Calibri" w:eastAsia="Times New Roman" w:hAnsi="Calibri" w:cs="Times New Roman"/>
          <w:lang w:val="en-GB"/>
        </w:rPr>
        <w:t xml:space="preserve">, Competition law, </w:t>
      </w:r>
      <w:r w:rsidRPr="00CC1034">
        <w:rPr>
          <w:rFonts w:ascii="Calibri" w:eastAsia="Times New Roman" w:hAnsi="Calibri" w:cs="Times New Roman"/>
        </w:rPr>
        <w:t>Oxford University Press</w:t>
      </w:r>
      <w:r w:rsidRPr="00CC1034">
        <w:rPr>
          <w:rStyle w:val="book-title"/>
          <w:rFonts w:ascii="Calibri" w:eastAsia="Times New Roman" w:hAnsi="Calibri" w:cs="Times New Roman"/>
          <w:lang w:val="en-GB"/>
        </w:rPr>
        <w:t>, 2015</w:t>
      </w:r>
    </w:p>
    <w:p w14:paraId="212A83AF" w14:textId="54205CC8" w:rsidR="00A54F7A" w:rsidRPr="0024391C" w:rsidRDefault="00A54F7A" w:rsidP="00A54F7A">
      <w:pPr>
        <w:pStyle w:val="Heading2"/>
        <w:rPr>
          <w:rFonts w:ascii="Calibri" w:hAnsi="Calibri"/>
          <w:color w:val="auto"/>
          <w:sz w:val="24"/>
          <w:szCs w:val="24"/>
          <w:lang w:val="el-GR"/>
        </w:rPr>
      </w:pPr>
      <w:r w:rsidRPr="00CC1034">
        <w:rPr>
          <w:rFonts w:ascii="Calibri" w:hAnsi="Calibri"/>
          <w:color w:val="auto"/>
          <w:sz w:val="24"/>
          <w:szCs w:val="24"/>
          <w:lang w:val="el-GR"/>
        </w:rPr>
        <w:t>Γενικά</w:t>
      </w:r>
      <w:r w:rsidRPr="0024391C">
        <w:rPr>
          <w:rFonts w:ascii="Calibri" w:hAnsi="Calibri"/>
          <w:color w:val="auto"/>
          <w:sz w:val="24"/>
          <w:szCs w:val="24"/>
          <w:lang w:val="el-GR"/>
        </w:rPr>
        <w:t xml:space="preserve"> – </w:t>
      </w:r>
      <w:r w:rsidRPr="00CC1034">
        <w:rPr>
          <w:rFonts w:ascii="Calibri" w:hAnsi="Calibri"/>
          <w:color w:val="auto"/>
          <w:sz w:val="24"/>
          <w:szCs w:val="24"/>
          <w:lang w:val="el-GR"/>
        </w:rPr>
        <w:t>Δίκαιο</w:t>
      </w:r>
      <w:r w:rsidRPr="0024391C">
        <w:rPr>
          <w:rFonts w:ascii="Calibri" w:hAnsi="Calibri"/>
          <w:color w:val="auto"/>
          <w:sz w:val="24"/>
          <w:szCs w:val="24"/>
          <w:lang w:val="el-GR"/>
        </w:rPr>
        <w:t xml:space="preserve"> </w:t>
      </w:r>
      <w:r w:rsidRPr="00CC1034">
        <w:rPr>
          <w:rFonts w:ascii="Calibri" w:hAnsi="Calibri"/>
          <w:color w:val="auto"/>
          <w:sz w:val="24"/>
          <w:szCs w:val="24"/>
          <w:lang w:val="el-GR"/>
        </w:rPr>
        <w:t>της</w:t>
      </w:r>
      <w:r w:rsidRPr="0024391C">
        <w:rPr>
          <w:rFonts w:ascii="Calibri" w:hAnsi="Calibri"/>
          <w:color w:val="auto"/>
          <w:sz w:val="24"/>
          <w:szCs w:val="24"/>
          <w:lang w:val="el-GR"/>
        </w:rPr>
        <w:t xml:space="preserve"> </w:t>
      </w:r>
      <w:r w:rsidRPr="00CC1034">
        <w:rPr>
          <w:rFonts w:ascii="Calibri" w:hAnsi="Calibri"/>
          <w:color w:val="auto"/>
          <w:sz w:val="24"/>
          <w:szCs w:val="24"/>
          <w:lang w:val="el-GR"/>
        </w:rPr>
        <w:t>ΕΕ</w:t>
      </w:r>
    </w:p>
    <w:p w14:paraId="2BFB78CB" w14:textId="77777777" w:rsidR="00F06E20" w:rsidRPr="0024391C" w:rsidRDefault="00F06E20" w:rsidP="00F06E20">
      <w:pPr>
        <w:rPr>
          <w:rFonts w:ascii="Calibri" w:hAnsi="Calibri"/>
          <w:lang w:val="el-GR"/>
        </w:rPr>
      </w:pPr>
    </w:p>
    <w:p w14:paraId="48F5CCCC" w14:textId="77777777" w:rsidR="00A54F7A" w:rsidRPr="00CC1034" w:rsidRDefault="00A54F7A" w:rsidP="00A54F7A">
      <w:pPr>
        <w:rPr>
          <w:rFonts w:ascii="Calibri" w:hAnsi="Calibri" w:cstheme="majorHAnsi"/>
          <w:i/>
          <w:lang w:val="el-GR"/>
        </w:rPr>
      </w:pPr>
      <w:r w:rsidRPr="00CC1034">
        <w:rPr>
          <w:rFonts w:ascii="Calibri" w:hAnsi="Calibri" w:cstheme="majorHAnsi"/>
          <w:i/>
          <w:lang w:val="el-GR"/>
        </w:rPr>
        <w:t>Ελληνόγλωσση</w:t>
      </w:r>
    </w:p>
    <w:p w14:paraId="07E4CD11" w14:textId="51733470" w:rsidR="00780A0E" w:rsidRPr="00CC1034" w:rsidRDefault="00780A0E" w:rsidP="00780A0E">
      <w:pPr>
        <w:spacing w:before="120"/>
        <w:jc w:val="both"/>
        <w:rPr>
          <w:rFonts w:ascii="Calibri" w:hAnsi="Calibri" w:cs="Calibri"/>
          <w:lang w:val="el-GR"/>
        </w:rPr>
      </w:pPr>
      <w:r w:rsidRPr="00431FC8">
        <w:rPr>
          <w:rFonts w:ascii="Calibri" w:hAnsi="Calibri" w:cs="Calibri"/>
          <w:smallCaps/>
          <w:lang w:val="el-GR"/>
        </w:rPr>
        <w:t>Α. Πλιάκος</w:t>
      </w:r>
      <w:r w:rsidRPr="00CC1034">
        <w:rPr>
          <w:rFonts w:ascii="Calibri" w:hAnsi="Calibri" w:cs="Calibri"/>
          <w:lang w:val="el-GR"/>
        </w:rPr>
        <w:t>, Το Δίκαιο της Ευρωπαϊκής Ένωσης, Θεσμικό &amp; Ουσιαστικό Δίκαιο</w:t>
      </w:r>
      <w:r w:rsidR="00431FC8">
        <w:rPr>
          <w:rFonts w:ascii="Calibri" w:hAnsi="Calibri" w:cs="Calibri"/>
          <w:lang w:val="el-GR"/>
        </w:rPr>
        <w:t>,</w:t>
      </w:r>
      <w:r w:rsidRPr="00CC1034">
        <w:rPr>
          <w:rFonts w:ascii="Calibri" w:hAnsi="Calibri" w:cs="Calibri"/>
          <w:lang w:val="el-GR"/>
        </w:rPr>
        <w:t xml:space="preserve"> Νομική Βιβλιοθήκη</w:t>
      </w:r>
      <w:r w:rsidR="00793F80">
        <w:rPr>
          <w:rFonts w:ascii="Calibri" w:hAnsi="Calibri" w:cs="Calibri"/>
          <w:lang w:val="el-GR"/>
        </w:rPr>
        <w:t>,</w:t>
      </w:r>
      <w:r w:rsidRPr="00CC1034">
        <w:rPr>
          <w:rFonts w:ascii="Calibri" w:hAnsi="Calibri" w:cs="Calibri"/>
          <w:lang w:val="el-GR"/>
        </w:rPr>
        <w:t xml:space="preserve"> 2012</w:t>
      </w:r>
    </w:p>
    <w:p w14:paraId="1A4B21E3" w14:textId="4BAF81F5" w:rsidR="00780A0E" w:rsidRPr="00CC1034" w:rsidRDefault="00780A0E" w:rsidP="00780A0E">
      <w:pPr>
        <w:rPr>
          <w:rFonts w:ascii="Calibri" w:hAnsi="Calibri" w:cs="Calibri"/>
          <w:lang w:val="el-GR"/>
        </w:rPr>
      </w:pPr>
      <w:r w:rsidRPr="00431FC8">
        <w:rPr>
          <w:rStyle w:val="Emphasis"/>
          <w:rFonts w:ascii="Calibri" w:hAnsi="Calibri" w:cs="Calibri"/>
          <w:i w:val="0"/>
          <w:smallCaps/>
          <w:lang w:val="el-GR"/>
        </w:rPr>
        <w:t>Ε. Σαχπεκίδου</w:t>
      </w:r>
      <w:r w:rsidRPr="00CC1034">
        <w:rPr>
          <w:rStyle w:val="st"/>
          <w:rFonts w:ascii="Calibri" w:hAnsi="Calibri" w:cs="Calibri"/>
          <w:lang w:val="el-GR"/>
        </w:rPr>
        <w:t>, Ευρωπαϊκό δίκαιο, εκδ. Σάκκουλα</w:t>
      </w:r>
      <w:r w:rsidR="00793F80">
        <w:rPr>
          <w:rStyle w:val="st"/>
          <w:rFonts w:ascii="Calibri" w:hAnsi="Calibri" w:cs="Calibri"/>
          <w:lang w:val="el-GR"/>
        </w:rPr>
        <w:t>,</w:t>
      </w:r>
      <w:r w:rsidRPr="00CC1034">
        <w:rPr>
          <w:rStyle w:val="st"/>
          <w:rFonts w:ascii="Calibri" w:hAnsi="Calibri" w:cs="Calibri"/>
          <w:lang w:val="el-GR"/>
        </w:rPr>
        <w:t xml:space="preserve"> 2012</w:t>
      </w:r>
    </w:p>
    <w:p w14:paraId="21538714" w14:textId="2719629B" w:rsidR="00915B8D" w:rsidRPr="00CC1034" w:rsidRDefault="00780A0E" w:rsidP="00780A0E">
      <w:pPr>
        <w:rPr>
          <w:rFonts w:ascii="Calibri" w:hAnsi="Calibri" w:cs="Calibri"/>
          <w:lang w:val="el-GR"/>
        </w:rPr>
      </w:pPr>
      <w:r w:rsidRPr="00431FC8">
        <w:rPr>
          <w:rFonts w:ascii="Calibri" w:hAnsi="Calibri" w:cs="Calibri"/>
          <w:smallCaps/>
          <w:lang w:val="fr-BE"/>
        </w:rPr>
        <w:t>B</w:t>
      </w:r>
      <w:r w:rsidRPr="00431FC8">
        <w:rPr>
          <w:rFonts w:ascii="Calibri" w:hAnsi="Calibri" w:cs="Calibri"/>
          <w:smallCaps/>
          <w:lang w:val="el-GR"/>
        </w:rPr>
        <w:t>. Χριστιανός</w:t>
      </w:r>
      <w:r w:rsidR="00FA7178" w:rsidRPr="00CC1034">
        <w:rPr>
          <w:rFonts w:ascii="Calibri" w:hAnsi="Calibri" w:cs="Calibri"/>
          <w:lang w:val="el-GR"/>
        </w:rPr>
        <w:t xml:space="preserve">, </w:t>
      </w:r>
      <w:r w:rsidRPr="00CC1034">
        <w:rPr>
          <w:rFonts w:ascii="Calibri" w:hAnsi="Calibri" w:cs="Calibri"/>
          <w:lang w:val="el-GR"/>
        </w:rPr>
        <w:t>Εισαγωγή στο Δίκαιο της Ευρωπαϊκής Ένωσης, Νομική Βιβλιοθήκη</w:t>
      </w:r>
      <w:r w:rsidR="00793F80">
        <w:rPr>
          <w:rFonts w:ascii="Calibri" w:hAnsi="Calibri" w:cs="Calibri"/>
          <w:lang w:val="el-GR"/>
        </w:rPr>
        <w:t>,</w:t>
      </w:r>
      <w:r w:rsidRPr="00CC1034">
        <w:rPr>
          <w:rFonts w:ascii="Calibri" w:hAnsi="Calibri" w:cs="Calibri"/>
          <w:lang w:val="el-GR"/>
        </w:rPr>
        <w:t xml:space="preserve"> 2011</w:t>
      </w:r>
    </w:p>
    <w:p w14:paraId="318A0250" w14:textId="13E89C8B" w:rsidR="00FA7178" w:rsidRPr="00CC1034" w:rsidRDefault="00780A0E" w:rsidP="00780A0E">
      <w:pPr>
        <w:rPr>
          <w:rFonts w:ascii="Calibri" w:hAnsi="Calibri" w:cs="Calibri"/>
          <w:lang w:val="el-GR"/>
        </w:rPr>
      </w:pPr>
      <w:r w:rsidRPr="00431FC8">
        <w:rPr>
          <w:rFonts w:ascii="Calibri" w:hAnsi="Calibri" w:cs="Calibri"/>
          <w:smallCaps/>
          <w:lang w:val="fr-BE"/>
        </w:rPr>
        <w:t>B</w:t>
      </w:r>
      <w:r w:rsidRPr="00431FC8">
        <w:rPr>
          <w:rFonts w:ascii="Calibri" w:hAnsi="Calibri" w:cs="Calibri"/>
          <w:smallCaps/>
          <w:lang w:val="el-GR"/>
        </w:rPr>
        <w:t>. Χριστιανός</w:t>
      </w:r>
      <w:r w:rsidR="00431FC8">
        <w:rPr>
          <w:rFonts w:ascii="Calibri" w:hAnsi="Calibri" w:cs="Calibri"/>
          <w:smallCaps/>
          <w:lang w:val="el-GR"/>
        </w:rPr>
        <w:t>,</w:t>
      </w:r>
      <w:r w:rsidRPr="00CC1034">
        <w:rPr>
          <w:rStyle w:val="Emphasis"/>
          <w:rFonts w:ascii="Calibri" w:hAnsi="Calibri" w:cs="Calibri"/>
          <w:lang w:val="el-GR"/>
        </w:rPr>
        <w:t xml:space="preserve"> </w:t>
      </w:r>
      <w:r w:rsidRPr="00CC1034">
        <w:rPr>
          <w:rStyle w:val="Emphasis"/>
          <w:rFonts w:ascii="Calibri" w:hAnsi="Calibri" w:cs="Calibri"/>
          <w:i w:val="0"/>
          <w:lang w:val="el-GR"/>
        </w:rPr>
        <w:t>Συνθήκη</w:t>
      </w:r>
      <w:r w:rsidRPr="00CC1034">
        <w:rPr>
          <w:rStyle w:val="st"/>
          <w:rFonts w:ascii="Calibri" w:hAnsi="Calibri" w:cs="Calibri"/>
          <w:i/>
          <w:lang w:val="el-GR"/>
        </w:rPr>
        <w:t xml:space="preserve"> </w:t>
      </w:r>
      <w:r w:rsidRPr="00CC1034">
        <w:rPr>
          <w:rStyle w:val="st"/>
          <w:rFonts w:ascii="Calibri" w:hAnsi="Calibri" w:cs="Calibri"/>
          <w:lang w:val="el-GR"/>
        </w:rPr>
        <w:t xml:space="preserve">ΕΕ &amp; ΣΛΕΕ - Κατ' άρθρο ερμηνεία, </w:t>
      </w:r>
      <w:r w:rsidRPr="00CC1034">
        <w:rPr>
          <w:rFonts w:ascii="Calibri" w:hAnsi="Calibri" w:cs="Calibri"/>
          <w:lang w:val="el-GR"/>
        </w:rPr>
        <w:t>Νομική Βιβλιοθήκη</w:t>
      </w:r>
      <w:r w:rsidR="00793F80">
        <w:rPr>
          <w:rFonts w:ascii="Calibri" w:hAnsi="Calibri" w:cs="Calibri"/>
          <w:lang w:val="el-GR"/>
        </w:rPr>
        <w:t>,</w:t>
      </w:r>
      <w:r w:rsidRPr="00CC1034">
        <w:rPr>
          <w:rFonts w:ascii="Calibri" w:hAnsi="Calibri" w:cs="Calibri"/>
          <w:lang w:val="el-GR"/>
        </w:rPr>
        <w:t xml:space="preserve"> 2012</w:t>
      </w:r>
    </w:p>
    <w:p w14:paraId="312BC2C4" w14:textId="77777777" w:rsidR="00FA7178" w:rsidRPr="00CC1034" w:rsidRDefault="00FA7178" w:rsidP="00A54F7A">
      <w:pPr>
        <w:rPr>
          <w:rFonts w:ascii="Calibri" w:hAnsi="Calibri" w:cstheme="majorHAnsi"/>
          <w:i/>
          <w:lang w:val="el-GR"/>
        </w:rPr>
      </w:pPr>
    </w:p>
    <w:p w14:paraId="772E943E" w14:textId="50F9FC5E" w:rsidR="00915B8D" w:rsidRPr="00CC1034" w:rsidRDefault="00A54F7A" w:rsidP="00A54F7A">
      <w:pPr>
        <w:rPr>
          <w:rFonts w:ascii="Calibri" w:hAnsi="Calibri" w:cstheme="majorHAnsi"/>
          <w:i/>
          <w:lang w:val="el-GR"/>
        </w:rPr>
      </w:pPr>
      <w:r w:rsidRPr="00CC1034">
        <w:rPr>
          <w:rFonts w:ascii="Calibri" w:hAnsi="Calibri" w:cstheme="majorHAnsi"/>
          <w:i/>
          <w:lang w:val="el-GR"/>
        </w:rPr>
        <w:t>Ξενόγλωσση</w:t>
      </w:r>
    </w:p>
    <w:p w14:paraId="7A354E81" w14:textId="0D51B953" w:rsidR="00BD1CB5" w:rsidRPr="0024391C" w:rsidRDefault="00BD1CB5" w:rsidP="00780A0E">
      <w:pPr>
        <w:spacing w:before="120"/>
        <w:jc w:val="both"/>
        <w:rPr>
          <w:rFonts w:ascii="Calibri" w:eastAsia="Times New Roman" w:hAnsi="Calibri" w:cs="Times New Roman"/>
          <w:lang w:val="el-GR"/>
        </w:rPr>
      </w:pPr>
      <w:r w:rsidRPr="00431FC8">
        <w:rPr>
          <w:rFonts w:ascii="Calibri" w:eastAsia="Times New Roman" w:hAnsi="Calibri" w:cs="Times New Roman"/>
          <w:smallCaps/>
        </w:rPr>
        <w:t>C</w:t>
      </w:r>
      <w:r w:rsidRPr="0024391C">
        <w:rPr>
          <w:rFonts w:ascii="Calibri" w:eastAsia="Times New Roman" w:hAnsi="Calibri" w:cs="Times New Roman"/>
          <w:smallCaps/>
          <w:lang w:val="el-GR"/>
        </w:rPr>
        <w:t xml:space="preserve">. </w:t>
      </w:r>
      <w:r w:rsidRPr="00431FC8">
        <w:rPr>
          <w:rFonts w:ascii="Calibri" w:eastAsia="Times New Roman" w:hAnsi="Calibri" w:cs="Times New Roman"/>
          <w:smallCaps/>
        </w:rPr>
        <w:t>Barnard</w:t>
      </w:r>
      <w:r w:rsidRPr="0024391C">
        <w:rPr>
          <w:rFonts w:ascii="Calibri" w:eastAsia="Times New Roman" w:hAnsi="Calibri" w:cs="Times New Roman"/>
          <w:smallCaps/>
          <w:lang w:val="el-GR"/>
        </w:rPr>
        <w:t xml:space="preserve">, </w:t>
      </w:r>
      <w:r w:rsidRPr="00431FC8">
        <w:rPr>
          <w:rFonts w:ascii="Calibri" w:eastAsia="Times New Roman" w:hAnsi="Calibri" w:cs="Times New Roman"/>
          <w:smallCaps/>
          <w:lang w:val="en-GB"/>
        </w:rPr>
        <w:t>S</w:t>
      </w:r>
      <w:r w:rsidRPr="0024391C">
        <w:rPr>
          <w:rFonts w:ascii="Calibri" w:eastAsia="Times New Roman" w:hAnsi="Calibri" w:cs="Times New Roman"/>
          <w:smallCaps/>
          <w:lang w:val="el-GR"/>
        </w:rPr>
        <w:t xml:space="preserve">. </w:t>
      </w:r>
      <w:r w:rsidRPr="00431FC8">
        <w:rPr>
          <w:rFonts w:ascii="Calibri" w:eastAsia="Times New Roman" w:hAnsi="Calibri" w:cs="Times New Roman"/>
          <w:smallCaps/>
          <w:lang w:val="en-GB"/>
        </w:rPr>
        <w:t>Peers</w:t>
      </w:r>
      <w:r w:rsidRPr="0024391C">
        <w:rPr>
          <w:rFonts w:ascii="Calibri" w:eastAsia="Times New Roman" w:hAnsi="Calibri" w:cs="Times New Roman"/>
          <w:lang w:val="el-GR"/>
        </w:rPr>
        <w:t>,</w:t>
      </w:r>
      <w:r w:rsidRPr="0024391C">
        <w:rPr>
          <w:rStyle w:val="st"/>
          <w:lang w:val="el-GR"/>
        </w:rPr>
        <w:t xml:space="preserve"> </w:t>
      </w:r>
      <w:r w:rsidRPr="00CC1034">
        <w:rPr>
          <w:rStyle w:val="st"/>
          <w:rFonts w:ascii="Calibri" w:hAnsi="Calibri" w:cs="Calibri"/>
        </w:rPr>
        <w:t>European</w:t>
      </w:r>
      <w:r w:rsidRPr="0024391C">
        <w:rPr>
          <w:rStyle w:val="st"/>
          <w:rFonts w:ascii="Calibri" w:hAnsi="Calibri" w:cs="Calibri"/>
          <w:lang w:val="el-GR"/>
        </w:rPr>
        <w:t xml:space="preserve"> </w:t>
      </w:r>
      <w:r w:rsidRPr="00CC1034">
        <w:rPr>
          <w:rStyle w:val="st"/>
          <w:rFonts w:ascii="Calibri" w:hAnsi="Calibri" w:cs="Calibri"/>
        </w:rPr>
        <w:t>Union</w:t>
      </w:r>
      <w:r w:rsidRPr="0024391C">
        <w:rPr>
          <w:rStyle w:val="st"/>
          <w:rFonts w:ascii="Calibri" w:hAnsi="Calibri" w:cs="Calibri"/>
          <w:lang w:val="el-GR"/>
        </w:rPr>
        <w:t xml:space="preserve"> </w:t>
      </w:r>
      <w:r w:rsidRPr="00CC1034">
        <w:rPr>
          <w:rStyle w:val="st"/>
          <w:rFonts w:ascii="Calibri" w:hAnsi="Calibri" w:cs="Calibri"/>
        </w:rPr>
        <w:t>Law</w:t>
      </w:r>
      <w:r w:rsidRPr="0024391C">
        <w:rPr>
          <w:rStyle w:val="st"/>
          <w:rFonts w:ascii="Calibri" w:hAnsi="Calibri" w:cs="Calibri"/>
          <w:lang w:val="el-GR"/>
        </w:rPr>
        <w:t xml:space="preserve">, </w:t>
      </w:r>
      <w:r w:rsidRPr="00CC1034">
        <w:rPr>
          <w:rFonts w:ascii="Calibri" w:eastAsia="Times New Roman" w:hAnsi="Calibri" w:cs="Times New Roman"/>
        </w:rPr>
        <w:t>Oxford</w:t>
      </w:r>
      <w:r w:rsidRPr="0024391C">
        <w:rPr>
          <w:rFonts w:ascii="Calibri" w:eastAsia="Times New Roman" w:hAnsi="Calibri" w:cs="Times New Roman"/>
          <w:lang w:val="el-GR"/>
        </w:rPr>
        <w:t xml:space="preserve"> </w:t>
      </w:r>
      <w:r w:rsidRPr="00CC1034">
        <w:rPr>
          <w:rFonts w:ascii="Calibri" w:eastAsia="Times New Roman" w:hAnsi="Calibri" w:cs="Times New Roman"/>
        </w:rPr>
        <w:t>University</w:t>
      </w:r>
      <w:r w:rsidRPr="0024391C">
        <w:rPr>
          <w:rFonts w:ascii="Calibri" w:eastAsia="Times New Roman" w:hAnsi="Calibri" w:cs="Times New Roman"/>
          <w:lang w:val="el-GR"/>
        </w:rPr>
        <w:t xml:space="preserve"> </w:t>
      </w:r>
      <w:r w:rsidRPr="00CC1034">
        <w:rPr>
          <w:rFonts w:ascii="Calibri" w:eastAsia="Times New Roman" w:hAnsi="Calibri" w:cs="Times New Roman"/>
        </w:rPr>
        <w:t>Press</w:t>
      </w:r>
      <w:r w:rsidRPr="0024391C">
        <w:rPr>
          <w:rFonts w:ascii="Calibri" w:eastAsia="Times New Roman" w:hAnsi="Calibri" w:cs="Times New Roman"/>
          <w:lang w:val="el-GR"/>
        </w:rPr>
        <w:t>,</w:t>
      </w:r>
      <w:r w:rsidRPr="0024391C">
        <w:rPr>
          <w:rStyle w:val="st"/>
          <w:rFonts w:ascii="Calibri" w:hAnsi="Calibri" w:cs="Calibri"/>
          <w:lang w:val="el-GR"/>
        </w:rPr>
        <w:t xml:space="preserve"> 2014</w:t>
      </w:r>
    </w:p>
    <w:p w14:paraId="19AC6607" w14:textId="133F6C0A" w:rsidR="00A54F7A" w:rsidRPr="00CC1034" w:rsidRDefault="00A54F7A" w:rsidP="00BD1CB5">
      <w:pPr>
        <w:jc w:val="both"/>
        <w:rPr>
          <w:rFonts w:ascii="Calibri" w:eastAsia="Times New Roman" w:hAnsi="Calibri" w:cs="Times New Roman"/>
        </w:rPr>
      </w:pPr>
      <w:r w:rsidRPr="00431FC8">
        <w:rPr>
          <w:rFonts w:ascii="Calibri" w:eastAsia="Times New Roman" w:hAnsi="Calibri" w:cs="Times New Roman"/>
          <w:smallCaps/>
        </w:rPr>
        <w:t>C</w:t>
      </w:r>
      <w:r w:rsidR="00FA7178" w:rsidRPr="00431FC8">
        <w:rPr>
          <w:rFonts w:ascii="Calibri" w:eastAsia="Times New Roman" w:hAnsi="Calibri" w:cs="Times New Roman"/>
          <w:smallCaps/>
        </w:rPr>
        <w:t>.</w:t>
      </w:r>
      <w:r w:rsidRPr="00431FC8">
        <w:rPr>
          <w:rFonts w:ascii="Calibri" w:eastAsia="Times New Roman" w:hAnsi="Calibri" w:cs="Times New Roman"/>
          <w:smallCaps/>
        </w:rPr>
        <w:t xml:space="preserve"> Barnard</w:t>
      </w:r>
      <w:r w:rsidRPr="00CC1034">
        <w:rPr>
          <w:rFonts w:ascii="Calibri" w:eastAsia="Times New Roman" w:hAnsi="Calibri" w:cs="Times New Roman"/>
        </w:rPr>
        <w:t xml:space="preserve">, </w:t>
      </w:r>
      <w:proofErr w:type="gramStart"/>
      <w:r w:rsidRPr="00CC1034">
        <w:rPr>
          <w:rFonts w:ascii="Calibri" w:eastAsia="Times New Roman" w:hAnsi="Calibri" w:cs="Times New Roman"/>
        </w:rPr>
        <w:t>The</w:t>
      </w:r>
      <w:proofErr w:type="gramEnd"/>
      <w:r w:rsidRPr="00CC1034">
        <w:rPr>
          <w:rFonts w:ascii="Calibri" w:eastAsia="Times New Roman" w:hAnsi="Calibri" w:cs="Times New Roman"/>
        </w:rPr>
        <w:t xml:space="preserve"> Substantive Law of the EU: The Four Freedoms, 4th ed, Oxford University Press</w:t>
      </w:r>
      <w:r w:rsidR="00BD1CB5" w:rsidRPr="00CC1034">
        <w:rPr>
          <w:rFonts w:ascii="Calibri" w:eastAsia="Times New Roman" w:hAnsi="Calibri" w:cs="Times New Roman"/>
        </w:rPr>
        <w:t>,</w:t>
      </w:r>
      <w:r w:rsidRPr="00CC1034">
        <w:rPr>
          <w:rFonts w:ascii="Calibri" w:eastAsia="Times New Roman" w:hAnsi="Calibri" w:cs="Times New Roman"/>
        </w:rPr>
        <w:t xml:space="preserve"> 2013</w:t>
      </w:r>
    </w:p>
    <w:p w14:paraId="7A011AF7" w14:textId="6B276007" w:rsidR="00A37EAE" w:rsidRPr="00CC1034" w:rsidRDefault="00A37EAE" w:rsidP="00780A0E">
      <w:pPr>
        <w:jc w:val="both"/>
        <w:rPr>
          <w:rFonts w:ascii="Calibri" w:eastAsia="Times New Roman" w:hAnsi="Calibri" w:cs="Times New Roman"/>
        </w:rPr>
      </w:pPr>
      <w:r w:rsidRPr="00431FC8">
        <w:rPr>
          <w:rFonts w:ascii="Calibri" w:eastAsia="Times New Roman" w:hAnsi="Calibri" w:cs="Times New Roman"/>
          <w:smallCaps/>
        </w:rPr>
        <w:t>D</w:t>
      </w:r>
      <w:r w:rsidR="00FA7178" w:rsidRPr="00431FC8">
        <w:rPr>
          <w:rFonts w:ascii="Calibri" w:eastAsia="Times New Roman" w:hAnsi="Calibri" w:cs="Times New Roman"/>
          <w:smallCaps/>
        </w:rPr>
        <w:t>.</w:t>
      </w:r>
      <w:r w:rsidRPr="00431FC8">
        <w:rPr>
          <w:rFonts w:ascii="Calibri" w:eastAsia="Times New Roman" w:hAnsi="Calibri" w:cs="Times New Roman"/>
          <w:smallCaps/>
        </w:rPr>
        <w:t xml:space="preserve"> Chalmers, G</w:t>
      </w:r>
      <w:r w:rsidR="00FA7178" w:rsidRPr="00431FC8">
        <w:rPr>
          <w:rFonts w:ascii="Calibri" w:eastAsia="Times New Roman" w:hAnsi="Calibri" w:cs="Times New Roman"/>
          <w:smallCaps/>
        </w:rPr>
        <w:t>.</w:t>
      </w:r>
      <w:r w:rsidRPr="00431FC8">
        <w:rPr>
          <w:rFonts w:ascii="Calibri" w:eastAsia="Times New Roman" w:hAnsi="Calibri" w:cs="Times New Roman"/>
          <w:smallCaps/>
        </w:rPr>
        <w:t xml:space="preserve"> Davies, and G</w:t>
      </w:r>
      <w:r w:rsidR="00FA7178" w:rsidRPr="00431FC8">
        <w:rPr>
          <w:rFonts w:ascii="Calibri" w:eastAsia="Times New Roman" w:hAnsi="Calibri" w:cs="Times New Roman"/>
          <w:smallCaps/>
        </w:rPr>
        <w:t>.</w:t>
      </w:r>
      <w:r w:rsidRPr="00431FC8">
        <w:rPr>
          <w:rFonts w:ascii="Calibri" w:eastAsia="Times New Roman" w:hAnsi="Calibri" w:cs="Times New Roman"/>
          <w:smallCaps/>
        </w:rPr>
        <w:t xml:space="preserve"> Monti</w:t>
      </w:r>
      <w:r w:rsidRPr="00CC1034">
        <w:rPr>
          <w:rFonts w:ascii="Calibri" w:eastAsia="Times New Roman" w:hAnsi="Calibri" w:cs="Times New Roman"/>
        </w:rPr>
        <w:t>, European Union Law, 2nd ed, Cambridge University Law, 2010</w:t>
      </w:r>
    </w:p>
    <w:p w14:paraId="6371B202" w14:textId="065E4FC8" w:rsidR="007E74E9" w:rsidRPr="00CC1034" w:rsidRDefault="00A37EAE" w:rsidP="00780A0E">
      <w:pPr>
        <w:jc w:val="both"/>
        <w:rPr>
          <w:rFonts w:ascii="Calibri" w:eastAsia="Times New Roman" w:hAnsi="Calibri" w:cs="Times New Roman"/>
        </w:rPr>
      </w:pPr>
      <w:r w:rsidRPr="00431FC8">
        <w:rPr>
          <w:rFonts w:ascii="Calibri" w:eastAsia="Times New Roman" w:hAnsi="Calibri" w:cs="Times New Roman"/>
          <w:smallCaps/>
        </w:rPr>
        <w:t>P</w:t>
      </w:r>
      <w:r w:rsidR="00FA7178" w:rsidRPr="00431FC8">
        <w:rPr>
          <w:rFonts w:ascii="Calibri" w:eastAsia="Times New Roman" w:hAnsi="Calibri" w:cs="Times New Roman"/>
          <w:smallCaps/>
        </w:rPr>
        <w:t>.</w:t>
      </w:r>
      <w:r w:rsidRPr="00431FC8">
        <w:rPr>
          <w:rFonts w:ascii="Calibri" w:eastAsia="Times New Roman" w:hAnsi="Calibri" w:cs="Times New Roman"/>
          <w:smallCaps/>
        </w:rPr>
        <w:t xml:space="preserve"> Craig and G</w:t>
      </w:r>
      <w:r w:rsidR="00FA7178" w:rsidRPr="00431FC8">
        <w:rPr>
          <w:rFonts w:ascii="Calibri" w:eastAsia="Times New Roman" w:hAnsi="Calibri" w:cs="Times New Roman"/>
          <w:smallCaps/>
        </w:rPr>
        <w:t>.</w:t>
      </w:r>
      <w:r w:rsidRPr="00431FC8">
        <w:rPr>
          <w:rFonts w:ascii="Calibri" w:eastAsia="Times New Roman" w:hAnsi="Calibri" w:cs="Times New Roman"/>
          <w:smallCaps/>
        </w:rPr>
        <w:t xml:space="preserve"> de Búrca,</w:t>
      </w:r>
      <w:r w:rsidRPr="00CC1034">
        <w:rPr>
          <w:rFonts w:ascii="Calibri" w:eastAsia="Times New Roman" w:hAnsi="Calibri" w:cs="Times New Roman"/>
        </w:rPr>
        <w:t xml:space="preserve"> EU Law: Text, Cases, and Materials, 6th </w:t>
      </w:r>
      <w:proofErr w:type="gramStart"/>
      <w:r w:rsidRPr="00CC1034">
        <w:rPr>
          <w:rFonts w:ascii="Calibri" w:eastAsia="Times New Roman" w:hAnsi="Calibri" w:cs="Times New Roman"/>
        </w:rPr>
        <w:t>ed</w:t>
      </w:r>
      <w:proofErr w:type="gramEnd"/>
      <w:r w:rsidRPr="00CC1034">
        <w:rPr>
          <w:rFonts w:ascii="Calibri" w:eastAsia="Times New Roman" w:hAnsi="Calibri" w:cs="Times New Roman"/>
        </w:rPr>
        <w:t>, Oxford University Press 2012</w:t>
      </w:r>
    </w:p>
    <w:p w14:paraId="25BD5001" w14:textId="38310CAC" w:rsidR="00A37EAE" w:rsidRPr="00CC1034" w:rsidRDefault="00A37EAE" w:rsidP="00780A0E">
      <w:pPr>
        <w:jc w:val="both"/>
        <w:rPr>
          <w:rFonts w:ascii="Calibri" w:eastAsia="Times New Roman" w:hAnsi="Calibri" w:cs="Times New Roman"/>
          <w:lang w:val="fr-BE"/>
        </w:rPr>
      </w:pPr>
      <w:r w:rsidRPr="00431FC8">
        <w:rPr>
          <w:rFonts w:ascii="Calibri" w:eastAsia="Times New Roman" w:hAnsi="Calibri" w:cs="Times New Roman"/>
          <w:smallCaps/>
          <w:lang w:val="fr-BE"/>
        </w:rPr>
        <w:t>L. Dubouis, Cl. Blumann</w:t>
      </w:r>
      <w:r w:rsidRPr="00CC1034">
        <w:rPr>
          <w:rFonts w:ascii="Calibri" w:eastAsia="Times New Roman" w:hAnsi="Calibri" w:cs="Times New Roman"/>
          <w:lang w:val="fr-BE"/>
        </w:rPr>
        <w:t>, Droit matériel de l’Union européenne, Montchrestien, 2006</w:t>
      </w:r>
    </w:p>
    <w:p w14:paraId="616E445C" w14:textId="3AC9C4BA" w:rsidR="00A54F7A" w:rsidRPr="00CC1034" w:rsidRDefault="00A37EAE" w:rsidP="00780A0E">
      <w:pPr>
        <w:jc w:val="both"/>
        <w:rPr>
          <w:rFonts w:ascii="Calibri" w:eastAsia="Times New Roman" w:hAnsi="Calibri" w:cs="Times New Roman"/>
          <w:lang w:val="fr-BE"/>
        </w:rPr>
      </w:pPr>
      <w:r w:rsidRPr="00431FC8">
        <w:rPr>
          <w:rFonts w:ascii="Calibri" w:eastAsia="Times New Roman" w:hAnsi="Calibri" w:cs="Times New Roman"/>
          <w:smallCaps/>
          <w:lang w:val="fr-BE"/>
        </w:rPr>
        <w:t>L. Dubouis, Cl. Blumann</w:t>
      </w:r>
      <w:r w:rsidRPr="00CC1034">
        <w:rPr>
          <w:rFonts w:ascii="Calibri" w:eastAsia="Times New Roman" w:hAnsi="Calibri" w:cs="Times New Roman"/>
          <w:lang w:val="fr-BE"/>
        </w:rPr>
        <w:t>, Droit institutionnel de l’Union européenne,</w:t>
      </w:r>
      <w:r w:rsidR="00FA7178" w:rsidRPr="00CC1034">
        <w:rPr>
          <w:rFonts w:ascii="Calibri" w:eastAsia="Times New Roman" w:hAnsi="Calibri" w:cs="Times New Roman"/>
          <w:lang w:val="fr-BE"/>
        </w:rPr>
        <w:t xml:space="preserve"> </w:t>
      </w:r>
      <w:r w:rsidRPr="00CC1034">
        <w:rPr>
          <w:rFonts w:ascii="Calibri" w:eastAsia="Times New Roman" w:hAnsi="Calibri" w:cs="Times New Roman"/>
          <w:lang w:val="fr-BE"/>
        </w:rPr>
        <w:t>6ème éd. Lexis Nexis, 2016</w:t>
      </w:r>
    </w:p>
    <w:p w14:paraId="0E4D34DF" w14:textId="7BBB93C5" w:rsidR="007E74E9" w:rsidRPr="00CC1034" w:rsidRDefault="007E74E9" w:rsidP="00780A0E">
      <w:pPr>
        <w:jc w:val="both"/>
        <w:rPr>
          <w:rFonts w:ascii="Calibri" w:eastAsia="Times New Roman" w:hAnsi="Calibri" w:cs="Times New Roman"/>
        </w:rPr>
      </w:pPr>
      <w:r w:rsidRPr="00431FC8">
        <w:rPr>
          <w:rStyle w:val="st"/>
          <w:rFonts w:ascii="Calibri" w:eastAsia="Times New Roman" w:hAnsi="Calibri" w:cs="Times New Roman"/>
          <w:smallCaps/>
          <w:lang w:val="fr-BE"/>
        </w:rPr>
        <w:t xml:space="preserve">C. Gavalda et G. </w:t>
      </w:r>
      <w:r w:rsidRPr="00431FC8">
        <w:rPr>
          <w:rStyle w:val="Emphasis"/>
          <w:rFonts w:ascii="Calibri" w:eastAsia="Times New Roman" w:hAnsi="Calibri" w:cs="Times New Roman"/>
          <w:i w:val="0"/>
          <w:smallCaps/>
          <w:lang w:val="fr-BE"/>
        </w:rPr>
        <w:t>Parleani</w:t>
      </w:r>
      <w:r w:rsidRPr="00CC1034">
        <w:rPr>
          <w:rStyle w:val="st"/>
          <w:rFonts w:ascii="Calibri" w:eastAsia="Times New Roman" w:hAnsi="Calibri" w:cs="Times New Roman"/>
          <w:i/>
          <w:lang w:val="fr-BE"/>
        </w:rPr>
        <w:t>,</w:t>
      </w:r>
      <w:r w:rsidRPr="00CC1034">
        <w:rPr>
          <w:rStyle w:val="st"/>
          <w:rFonts w:ascii="Calibri" w:eastAsia="Times New Roman" w:hAnsi="Calibri" w:cs="Times New Roman"/>
          <w:lang w:val="fr-BE"/>
        </w:rPr>
        <w:t xml:space="preserve"> </w:t>
      </w:r>
      <w:r w:rsidRPr="00CC1034">
        <w:rPr>
          <w:rStyle w:val="Emphasis"/>
          <w:rFonts w:ascii="Calibri" w:eastAsia="Times New Roman" w:hAnsi="Calibri" w:cs="Times New Roman"/>
          <w:i w:val="0"/>
          <w:lang w:val="fr-BE"/>
        </w:rPr>
        <w:t>Droit</w:t>
      </w:r>
      <w:r w:rsidRPr="00CC1034">
        <w:rPr>
          <w:rStyle w:val="st"/>
          <w:rFonts w:ascii="Calibri" w:eastAsia="Times New Roman" w:hAnsi="Calibri" w:cs="Times New Roman"/>
          <w:i/>
          <w:lang w:val="fr-BE"/>
        </w:rPr>
        <w:t xml:space="preserve"> </w:t>
      </w:r>
      <w:r w:rsidRPr="00CC1034">
        <w:rPr>
          <w:rStyle w:val="st"/>
          <w:rFonts w:ascii="Calibri" w:eastAsia="Times New Roman" w:hAnsi="Calibri" w:cs="Times New Roman"/>
          <w:lang w:val="fr-BE"/>
        </w:rPr>
        <w:t xml:space="preserve">des </w:t>
      </w:r>
      <w:r w:rsidRPr="00CC1034">
        <w:rPr>
          <w:rStyle w:val="Emphasis"/>
          <w:rFonts w:ascii="Calibri" w:eastAsia="Times New Roman" w:hAnsi="Calibri" w:cs="Times New Roman"/>
          <w:i w:val="0"/>
          <w:lang w:val="fr-BE"/>
        </w:rPr>
        <w:t>affaires de</w:t>
      </w:r>
      <w:r w:rsidRPr="00CC1034">
        <w:rPr>
          <w:rStyle w:val="st"/>
          <w:rFonts w:ascii="Calibri" w:eastAsia="Times New Roman" w:hAnsi="Calibri" w:cs="Times New Roman"/>
          <w:i/>
          <w:lang w:val="fr-BE"/>
        </w:rPr>
        <w:t xml:space="preserve"> </w:t>
      </w:r>
      <w:r w:rsidRPr="00CC1034">
        <w:rPr>
          <w:rStyle w:val="st"/>
          <w:rFonts w:ascii="Calibri" w:eastAsia="Times New Roman" w:hAnsi="Calibri" w:cs="Times New Roman"/>
          <w:lang w:val="fr-BE"/>
        </w:rPr>
        <w:t xml:space="preserve">l'Union </w:t>
      </w:r>
      <w:r w:rsidRPr="00CC1034">
        <w:rPr>
          <w:rStyle w:val="Emphasis"/>
          <w:rFonts w:ascii="Calibri" w:eastAsia="Times New Roman" w:hAnsi="Calibri" w:cs="Times New Roman"/>
          <w:i w:val="0"/>
          <w:lang w:val="fr-BE"/>
        </w:rPr>
        <w:t>européenne</w:t>
      </w:r>
      <w:r w:rsidRPr="00CC1034">
        <w:rPr>
          <w:rStyle w:val="st"/>
          <w:rFonts w:ascii="Calibri" w:eastAsia="Times New Roman" w:hAnsi="Calibri" w:cs="Times New Roman"/>
          <w:lang w:val="fr-BE"/>
        </w:rPr>
        <w:t xml:space="preserve">, LexisNexis, coll. </w:t>
      </w:r>
      <w:r w:rsidRPr="00CC1034">
        <w:rPr>
          <w:rStyle w:val="st"/>
          <w:rFonts w:ascii="Calibri" w:eastAsia="Times New Roman" w:hAnsi="Calibri" w:cs="Times New Roman"/>
        </w:rPr>
        <w:t>Manuel, 7 ème édition, 2016</w:t>
      </w:r>
    </w:p>
    <w:p w14:paraId="37106C99" w14:textId="5DCA37DE" w:rsidR="00A54F7A" w:rsidRPr="00CC1034" w:rsidRDefault="00A54F7A" w:rsidP="00780A0E">
      <w:pPr>
        <w:jc w:val="both"/>
        <w:rPr>
          <w:rFonts w:ascii="Calibri" w:eastAsia="Times New Roman" w:hAnsi="Calibri" w:cs="Times New Roman"/>
        </w:rPr>
      </w:pPr>
      <w:r w:rsidRPr="00431FC8">
        <w:rPr>
          <w:rFonts w:ascii="Calibri" w:eastAsia="Times New Roman" w:hAnsi="Calibri" w:cs="Times New Roman"/>
          <w:smallCaps/>
        </w:rPr>
        <w:t>T</w:t>
      </w:r>
      <w:r w:rsidR="00FA7178" w:rsidRPr="00431FC8">
        <w:rPr>
          <w:rFonts w:ascii="Calibri" w:eastAsia="Times New Roman" w:hAnsi="Calibri" w:cs="Times New Roman"/>
          <w:smallCaps/>
        </w:rPr>
        <w:t>.</w:t>
      </w:r>
      <w:r w:rsidRPr="00431FC8">
        <w:rPr>
          <w:rFonts w:ascii="Calibri" w:eastAsia="Times New Roman" w:hAnsi="Calibri" w:cs="Times New Roman"/>
          <w:smallCaps/>
        </w:rPr>
        <w:t xml:space="preserve"> Hartley</w:t>
      </w:r>
      <w:r w:rsidRPr="00CC1034">
        <w:rPr>
          <w:rFonts w:ascii="Calibri" w:eastAsia="Times New Roman" w:hAnsi="Calibri" w:cs="Times New Roman"/>
        </w:rPr>
        <w:t xml:space="preserve">, </w:t>
      </w:r>
      <w:proofErr w:type="gramStart"/>
      <w:r w:rsidRPr="00CC1034">
        <w:rPr>
          <w:rFonts w:ascii="Calibri" w:eastAsia="Times New Roman" w:hAnsi="Calibri" w:cs="Times New Roman"/>
        </w:rPr>
        <w:t>The</w:t>
      </w:r>
      <w:proofErr w:type="gramEnd"/>
      <w:r w:rsidRPr="00CC1034">
        <w:rPr>
          <w:rFonts w:ascii="Calibri" w:eastAsia="Times New Roman" w:hAnsi="Calibri" w:cs="Times New Roman"/>
        </w:rPr>
        <w:t xml:space="preserve"> Foundations of European Union Law, 7th ed, Oxford University Press</w:t>
      </w:r>
      <w:r w:rsidR="00793F80" w:rsidRPr="00793F80">
        <w:rPr>
          <w:rFonts w:ascii="Calibri" w:eastAsia="Times New Roman" w:hAnsi="Calibri" w:cs="Times New Roman"/>
          <w:lang w:val="en-GB"/>
        </w:rPr>
        <w:t>,</w:t>
      </w:r>
      <w:r w:rsidRPr="00CC1034">
        <w:rPr>
          <w:rFonts w:ascii="Calibri" w:eastAsia="Times New Roman" w:hAnsi="Calibri" w:cs="Times New Roman"/>
        </w:rPr>
        <w:t xml:space="preserve"> 2010</w:t>
      </w:r>
    </w:p>
    <w:p w14:paraId="02F25BC1" w14:textId="77777777" w:rsidR="00A54F7A" w:rsidRPr="00CC1034" w:rsidRDefault="00A54F7A" w:rsidP="00780A0E">
      <w:pPr>
        <w:jc w:val="both"/>
        <w:rPr>
          <w:rFonts w:ascii="Calibri" w:hAnsi="Calibri"/>
          <w:lang w:val="en-GB"/>
        </w:rPr>
      </w:pPr>
    </w:p>
    <w:p w14:paraId="55F9A862" w14:textId="2C682B7F" w:rsidR="00DC00A6" w:rsidRPr="00CC1034" w:rsidRDefault="00DC00A6" w:rsidP="00DC00A6">
      <w:pPr>
        <w:pStyle w:val="Heading2"/>
        <w:rPr>
          <w:rFonts w:ascii="Calibri" w:hAnsi="Calibri"/>
          <w:color w:val="auto"/>
          <w:sz w:val="24"/>
          <w:szCs w:val="24"/>
          <w:lang w:val="el-GR"/>
        </w:rPr>
      </w:pPr>
      <w:r w:rsidRPr="00CC1034">
        <w:rPr>
          <w:rFonts w:ascii="Calibri" w:hAnsi="Calibri"/>
          <w:color w:val="auto"/>
          <w:sz w:val="24"/>
          <w:szCs w:val="24"/>
          <w:lang w:val="el-GR"/>
        </w:rPr>
        <w:t>Χρήσιμοι ιστότοποι</w:t>
      </w:r>
    </w:p>
    <w:p w14:paraId="6955D5CA" w14:textId="77777777" w:rsidR="00F06E20" w:rsidRPr="00CC1034" w:rsidRDefault="00F06E20" w:rsidP="00F06E20">
      <w:pPr>
        <w:rPr>
          <w:lang w:val="el-GR"/>
        </w:rPr>
      </w:pPr>
    </w:p>
    <w:p w14:paraId="1CF7A29E" w14:textId="14AA04DA" w:rsidR="00F06E20" w:rsidRPr="00CC1034" w:rsidRDefault="00DC00A6" w:rsidP="00F06E20">
      <w:pPr>
        <w:rPr>
          <w:rFonts w:ascii="Calibri" w:hAnsi="Calibri" w:cs="Calibri"/>
          <w:lang w:val="el-GR"/>
        </w:rPr>
      </w:pPr>
      <w:r w:rsidRPr="00CC1034">
        <w:rPr>
          <w:rFonts w:ascii="Calibri" w:hAnsi="Calibri" w:cs="Calibri"/>
          <w:lang w:val="el-GR"/>
        </w:rPr>
        <w:t>Δικαστήριο της Ευρωπαϊκής Ένωσης</w:t>
      </w:r>
    </w:p>
    <w:p w14:paraId="3EDA643C" w14:textId="027C45C2" w:rsidR="00342B36" w:rsidRPr="00CC1034" w:rsidRDefault="00E80897" w:rsidP="00F06E20">
      <w:pPr>
        <w:rPr>
          <w:rFonts w:ascii="Calibri" w:hAnsi="Calibri" w:cs="Calibri"/>
          <w:lang w:val="el-GR"/>
        </w:rPr>
      </w:pPr>
      <w:hyperlink r:id="rId11" w:history="1">
        <w:r w:rsidR="00342B36" w:rsidRPr="00CC1034">
          <w:rPr>
            <w:rStyle w:val="Hyperlink"/>
            <w:rFonts w:ascii="Calibri" w:hAnsi="Calibri" w:cs="Calibri"/>
            <w:color w:val="auto"/>
            <w:lang w:val="el-GR"/>
          </w:rPr>
          <w:t>http://curia.europa.eu/</w:t>
        </w:r>
      </w:hyperlink>
    </w:p>
    <w:p w14:paraId="13448E5C" w14:textId="77777777" w:rsidR="00342B36" w:rsidRPr="00CC1034" w:rsidRDefault="00342B36" w:rsidP="00F06E20">
      <w:pPr>
        <w:rPr>
          <w:rFonts w:ascii="Calibri" w:hAnsi="Calibri" w:cs="Calibri"/>
          <w:lang w:val="el-GR"/>
        </w:rPr>
      </w:pPr>
    </w:p>
    <w:p w14:paraId="63264104" w14:textId="0D3EE35D" w:rsidR="00F06E20" w:rsidRPr="00CC1034" w:rsidRDefault="00DC00A6" w:rsidP="00F06E20">
      <w:pPr>
        <w:rPr>
          <w:rFonts w:ascii="Calibri" w:hAnsi="Calibri" w:cs="Calibri"/>
          <w:lang w:val="el-GR"/>
        </w:rPr>
      </w:pPr>
      <w:r w:rsidRPr="00CC1034">
        <w:rPr>
          <w:rFonts w:ascii="Calibri" w:hAnsi="Calibri" w:cs="Calibri"/>
          <w:lang w:val="el-GR"/>
        </w:rPr>
        <w:t>Γενική Διεύθυνση Ανταγωνισμού της Ευρωπαϊκής Επιτροπής</w:t>
      </w:r>
      <w:r w:rsidR="00342B36" w:rsidRPr="00CC1034">
        <w:rPr>
          <w:rFonts w:ascii="Calibri" w:hAnsi="Calibri" w:cs="Calibri"/>
          <w:lang w:val="el-GR"/>
        </w:rPr>
        <w:t xml:space="preserve"> – διαδικτυακός τόπος ενωσιακού δικαίου και πολιτικής ανταγωνισμού</w:t>
      </w:r>
    </w:p>
    <w:p w14:paraId="1D5627BB" w14:textId="655B4DD0" w:rsidR="00342B36" w:rsidRPr="00CC1034" w:rsidRDefault="00E80897" w:rsidP="00F06E20">
      <w:pPr>
        <w:rPr>
          <w:rFonts w:ascii="Calibri" w:hAnsi="Calibri" w:cs="Calibri"/>
          <w:lang w:val="el-GR"/>
        </w:rPr>
      </w:pPr>
      <w:hyperlink r:id="rId12" w:history="1">
        <w:r w:rsidR="00342B36" w:rsidRPr="00CC1034">
          <w:rPr>
            <w:rStyle w:val="Hyperlink"/>
            <w:rFonts w:ascii="Calibri" w:hAnsi="Calibri" w:cs="Calibri"/>
            <w:color w:val="auto"/>
            <w:lang w:val="el-GR"/>
          </w:rPr>
          <w:t>http://ec.europa.eu/competition/index_en.html</w:t>
        </w:r>
      </w:hyperlink>
    </w:p>
    <w:p w14:paraId="3B3856D0" w14:textId="77777777" w:rsidR="00342B36" w:rsidRPr="00CC1034" w:rsidRDefault="00342B36" w:rsidP="00F06E20">
      <w:pPr>
        <w:rPr>
          <w:rFonts w:ascii="Calibri" w:hAnsi="Calibri" w:cs="Calibri"/>
          <w:lang w:val="el-GR"/>
        </w:rPr>
      </w:pPr>
    </w:p>
    <w:p w14:paraId="1B1FA48F" w14:textId="0981BD13" w:rsidR="00342B36" w:rsidRPr="00CC1034" w:rsidRDefault="00342B36" w:rsidP="00F06E20">
      <w:pPr>
        <w:rPr>
          <w:rFonts w:ascii="Calibri" w:hAnsi="Calibri" w:cs="Calibri"/>
          <w:lang w:val="el-GR"/>
        </w:rPr>
      </w:pPr>
      <w:r w:rsidRPr="00CC1034">
        <w:rPr>
          <w:rFonts w:ascii="Calibri" w:hAnsi="Calibri" w:cs="Calibri"/>
          <w:lang w:val="el-GR"/>
        </w:rPr>
        <w:t>Γενική Διεύθυνση Εσωτερικής Αγοράς, Βιομηχανίας, Επιχειρηματικότητας και ΜΜΕ – ιστότοπος για το ενωσιακό δίκαιο δημοσίων συμβάσεων</w:t>
      </w:r>
    </w:p>
    <w:p w14:paraId="6BD946E5" w14:textId="28B109E1" w:rsidR="00342B36" w:rsidRPr="00CC1034" w:rsidRDefault="00E80897" w:rsidP="00F06E20">
      <w:pPr>
        <w:rPr>
          <w:rFonts w:ascii="Calibri" w:hAnsi="Calibri" w:cs="Calibri"/>
          <w:lang w:val="el-GR"/>
        </w:rPr>
      </w:pPr>
      <w:hyperlink r:id="rId13" w:history="1">
        <w:r w:rsidR="00342B36" w:rsidRPr="00CC1034">
          <w:rPr>
            <w:rStyle w:val="Hyperlink"/>
            <w:rFonts w:ascii="Calibri" w:hAnsi="Calibri" w:cs="Calibri"/>
            <w:color w:val="auto"/>
            <w:lang w:val="el-GR"/>
          </w:rPr>
          <w:t>https://ec.europa.eu/growth/single-market/public-procurement_el</w:t>
        </w:r>
      </w:hyperlink>
    </w:p>
    <w:p w14:paraId="60E91EB7" w14:textId="77777777" w:rsidR="00342B36" w:rsidRPr="00CC1034" w:rsidRDefault="00342B36" w:rsidP="00F06E20">
      <w:pPr>
        <w:rPr>
          <w:rFonts w:ascii="Calibri" w:hAnsi="Calibri" w:cs="Calibri"/>
          <w:lang w:val="el-GR"/>
        </w:rPr>
      </w:pPr>
    </w:p>
    <w:p w14:paraId="070034D2" w14:textId="7C541AD1" w:rsidR="00DC00A6" w:rsidRPr="00CC1034" w:rsidRDefault="00DC00A6" w:rsidP="00F06E20">
      <w:pPr>
        <w:rPr>
          <w:rFonts w:ascii="Calibri" w:hAnsi="Calibri" w:cs="Calibri"/>
          <w:lang w:val="el-GR"/>
        </w:rPr>
      </w:pPr>
      <w:r w:rsidRPr="00CC1034">
        <w:rPr>
          <w:rFonts w:ascii="Calibri" w:hAnsi="Calibri" w:cs="Calibri"/>
          <w:lang w:val="el-GR"/>
        </w:rPr>
        <w:t>Γενική Διεύθυνση Υγείας και Ασφάλειας των Τροφίμων</w:t>
      </w:r>
      <w:r w:rsidR="00342B36" w:rsidRPr="00CC1034">
        <w:rPr>
          <w:rFonts w:ascii="Calibri" w:hAnsi="Calibri" w:cs="Calibri"/>
          <w:lang w:val="el-GR"/>
        </w:rPr>
        <w:t xml:space="preserve"> της Ευρωπαϊκής Επιτροπής</w:t>
      </w:r>
    </w:p>
    <w:p w14:paraId="6FF2DF13" w14:textId="5689F05C" w:rsidR="00342B36" w:rsidRPr="00CC1034" w:rsidRDefault="00E80897" w:rsidP="00F06E20">
      <w:pPr>
        <w:rPr>
          <w:rFonts w:ascii="Calibri" w:hAnsi="Calibri" w:cs="Calibri"/>
          <w:lang w:val="el-GR"/>
        </w:rPr>
      </w:pPr>
      <w:hyperlink r:id="rId14" w:history="1">
        <w:r w:rsidR="00342B36" w:rsidRPr="00CC1034">
          <w:rPr>
            <w:rStyle w:val="Hyperlink"/>
            <w:rFonts w:ascii="Calibri" w:hAnsi="Calibri" w:cs="Calibri"/>
            <w:color w:val="auto"/>
            <w:lang w:val="el-GR"/>
          </w:rPr>
          <w:t>http://ec.europa.eu/dgs/health_food-safety/index_en.htm</w:t>
        </w:r>
      </w:hyperlink>
    </w:p>
    <w:p w14:paraId="097AF513" w14:textId="77777777" w:rsidR="00342B36" w:rsidRPr="00CC1034" w:rsidRDefault="00342B36" w:rsidP="00F06E20">
      <w:pPr>
        <w:rPr>
          <w:rFonts w:ascii="Calibri" w:hAnsi="Calibri" w:cs="Calibri"/>
          <w:lang w:val="el-GR"/>
        </w:rPr>
      </w:pPr>
    </w:p>
    <w:p w14:paraId="0D8EBB87" w14:textId="7F0C191B" w:rsidR="00DC00A6" w:rsidRPr="00CC1034" w:rsidRDefault="00DC00A6" w:rsidP="00F06E20">
      <w:pPr>
        <w:rPr>
          <w:rFonts w:ascii="Calibri" w:hAnsi="Calibri" w:cs="Calibri"/>
          <w:lang w:val="el-GR"/>
        </w:rPr>
      </w:pPr>
      <w:r w:rsidRPr="00CC1034">
        <w:rPr>
          <w:rFonts w:ascii="Calibri" w:hAnsi="Calibri" w:cs="Calibri"/>
          <w:lang w:val="el-GR"/>
        </w:rPr>
        <w:t>Γενική Διεύθυνση Δικαιοσύνης και Καταναλωτών</w:t>
      </w:r>
      <w:r w:rsidR="00342B36" w:rsidRPr="00CC1034">
        <w:rPr>
          <w:rFonts w:ascii="Calibri" w:hAnsi="Calibri" w:cs="Calibri"/>
          <w:lang w:val="el-GR"/>
        </w:rPr>
        <w:t xml:space="preserve"> της Ευρωπαϊκής Επιτροπής – διαδικτυακός τόπος πολιτικής καταναλωτών</w:t>
      </w:r>
    </w:p>
    <w:p w14:paraId="5D99861C" w14:textId="758123A6" w:rsidR="00342B36" w:rsidRPr="00CC1034" w:rsidRDefault="00E80897" w:rsidP="00F06E20">
      <w:pPr>
        <w:rPr>
          <w:rFonts w:ascii="Calibri" w:hAnsi="Calibri" w:cs="Calibri"/>
          <w:lang w:val="el-GR"/>
        </w:rPr>
      </w:pPr>
      <w:hyperlink r:id="rId15" w:history="1">
        <w:r w:rsidR="00342B36" w:rsidRPr="00CC1034">
          <w:rPr>
            <w:rStyle w:val="Hyperlink"/>
            <w:rFonts w:ascii="Calibri" w:hAnsi="Calibri" w:cs="Calibri"/>
            <w:color w:val="auto"/>
            <w:lang w:val="el-GR"/>
          </w:rPr>
          <w:t>http://ec.europa.eu/consumers/index_en.htm</w:t>
        </w:r>
      </w:hyperlink>
    </w:p>
    <w:p w14:paraId="0E2C1434" w14:textId="77777777" w:rsidR="00342B36" w:rsidRPr="00CC1034" w:rsidRDefault="00342B36" w:rsidP="00F06E20">
      <w:pPr>
        <w:rPr>
          <w:rFonts w:ascii="Calibri" w:hAnsi="Calibri" w:cs="Calibri"/>
          <w:lang w:val="el-GR"/>
        </w:rPr>
      </w:pPr>
    </w:p>
    <w:p w14:paraId="1E698BB3" w14:textId="1AEDEB1B" w:rsidR="00DC00A6" w:rsidRPr="00CC1034" w:rsidRDefault="00DC00A6" w:rsidP="00F06E20">
      <w:pPr>
        <w:rPr>
          <w:rFonts w:ascii="Calibri" w:hAnsi="Calibri" w:cs="Calibri"/>
          <w:lang w:val="el-GR"/>
        </w:rPr>
      </w:pPr>
      <w:r w:rsidRPr="00CC1034">
        <w:rPr>
          <w:rFonts w:ascii="Calibri" w:hAnsi="Calibri" w:cs="Calibri"/>
          <w:lang w:val="el-GR"/>
        </w:rPr>
        <w:t>Ιστότοπος της Ευρωπαϊκής Επιτροπής για το ενωσιακό εταιρικό δίκαιο</w:t>
      </w:r>
    </w:p>
    <w:p w14:paraId="30BA1302" w14:textId="160248D4" w:rsidR="00DC00A6" w:rsidRPr="00CC1034" w:rsidRDefault="00E80897" w:rsidP="00F06E20">
      <w:pPr>
        <w:rPr>
          <w:lang w:val="el-GR"/>
        </w:rPr>
      </w:pPr>
      <w:hyperlink r:id="rId16" w:history="1">
        <w:r w:rsidR="00DC00A6" w:rsidRPr="00CC1034">
          <w:rPr>
            <w:rStyle w:val="Hyperlink"/>
            <w:rFonts w:ascii="Calibri" w:hAnsi="Calibri" w:cs="Calibri"/>
            <w:color w:val="auto"/>
            <w:lang w:val="el-GR"/>
          </w:rPr>
          <w:t>http://ec.europa.eu/justice/civil/company-law/eu-company-law/index_en.htm</w:t>
        </w:r>
      </w:hyperlink>
    </w:p>
    <w:sectPr w:rsidR="00DC00A6" w:rsidRPr="00CC1034" w:rsidSect="00905F53">
      <w:footerReference w:type="even" r:id="rId17"/>
      <w:footerReference w:type="default" r:id="rId1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296DB1" w14:textId="77777777" w:rsidR="0024391C" w:rsidRDefault="0024391C" w:rsidP="002F3128">
      <w:r>
        <w:separator/>
      </w:r>
    </w:p>
  </w:endnote>
  <w:endnote w:type="continuationSeparator" w:id="0">
    <w:p w14:paraId="1D737EDF" w14:textId="77777777" w:rsidR="0024391C" w:rsidRDefault="0024391C" w:rsidP="002F3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C75A7" w14:textId="77777777" w:rsidR="0024391C" w:rsidRDefault="0024391C" w:rsidP="00CC59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5ED7E0" w14:textId="77777777" w:rsidR="0024391C" w:rsidRDefault="0024391C" w:rsidP="002F312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2075253"/>
      <w:docPartObj>
        <w:docPartGallery w:val="Page Numbers (Bottom of Page)"/>
        <w:docPartUnique/>
      </w:docPartObj>
    </w:sdtPr>
    <w:sdtEndPr>
      <w:rPr>
        <w:noProof/>
      </w:rPr>
    </w:sdtEndPr>
    <w:sdtContent>
      <w:p w14:paraId="3051EE6D" w14:textId="4651872A" w:rsidR="0024391C" w:rsidRDefault="0024391C">
        <w:pPr>
          <w:pStyle w:val="Footer"/>
          <w:jc w:val="right"/>
        </w:pPr>
        <w:r>
          <w:fldChar w:fldCharType="begin"/>
        </w:r>
        <w:r>
          <w:instrText xml:space="preserve"> PAGE   \* MERGEFORMAT </w:instrText>
        </w:r>
        <w:r>
          <w:fldChar w:fldCharType="separate"/>
        </w:r>
        <w:r w:rsidR="00E80897">
          <w:rPr>
            <w:noProof/>
          </w:rPr>
          <w:t>16</w:t>
        </w:r>
        <w:r>
          <w:rPr>
            <w:noProof/>
          </w:rPr>
          <w:fldChar w:fldCharType="end"/>
        </w:r>
      </w:p>
    </w:sdtContent>
  </w:sdt>
  <w:p w14:paraId="2D801F4C" w14:textId="77777777" w:rsidR="0024391C" w:rsidRDefault="0024391C" w:rsidP="002F312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FFA0C6" w14:textId="77777777" w:rsidR="0024391C" w:rsidRDefault="0024391C" w:rsidP="002F3128">
      <w:r>
        <w:separator/>
      </w:r>
    </w:p>
  </w:footnote>
  <w:footnote w:type="continuationSeparator" w:id="0">
    <w:p w14:paraId="438F1BBA" w14:textId="77777777" w:rsidR="0024391C" w:rsidRDefault="0024391C" w:rsidP="002F31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11948"/>
    <w:multiLevelType w:val="hybridMultilevel"/>
    <w:tmpl w:val="97C28AC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72C74CA"/>
    <w:multiLevelType w:val="multilevel"/>
    <w:tmpl w:val="79567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90E"/>
    <w:rsid w:val="00000C99"/>
    <w:rsid w:val="00003C0A"/>
    <w:rsid w:val="00006E09"/>
    <w:rsid w:val="00021711"/>
    <w:rsid w:val="00025531"/>
    <w:rsid w:val="00030676"/>
    <w:rsid w:val="00033A1C"/>
    <w:rsid w:val="00096A09"/>
    <w:rsid w:val="000C4D54"/>
    <w:rsid w:val="000C4D6A"/>
    <w:rsid w:val="000E2594"/>
    <w:rsid w:val="001075E5"/>
    <w:rsid w:val="00122239"/>
    <w:rsid w:val="00130ABC"/>
    <w:rsid w:val="001F4595"/>
    <w:rsid w:val="002375AE"/>
    <w:rsid w:val="0024391C"/>
    <w:rsid w:val="002656D3"/>
    <w:rsid w:val="0026611A"/>
    <w:rsid w:val="002674B8"/>
    <w:rsid w:val="00270311"/>
    <w:rsid w:val="0029087E"/>
    <w:rsid w:val="002A7089"/>
    <w:rsid w:val="002B44FB"/>
    <w:rsid w:val="002B629D"/>
    <w:rsid w:val="002F233B"/>
    <w:rsid w:val="002F3128"/>
    <w:rsid w:val="00305C0A"/>
    <w:rsid w:val="00341EC4"/>
    <w:rsid w:val="00342B36"/>
    <w:rsid w:val="00351F20"/>
    <w:rsid w:val="00363611"/>
    <w:rsid w:val="00386C89"/>
    <w:rsid w:val="003A1D63"/>
    <w:rsid w:val="003D49D5"/>
    <w:rsid w:val="003D5B4C"/>
    <w:rsid w:val="003E0773"/>
    <w:rsid w:val="004177D1"/>
    <w:rsid w:val="00425FED"/>
    <w:rsid w:val="00431FC8"/>
    <w:rsid w:val="00440406"/>
    <w:rsid w:val="00440B9C"/>
    <w:rsid w:val="004554A1"/>
    <w:rsid w:val="0048579D"/>
    <w:rsid w:val="004A7E1F"/>
    <w:rsid w:val="0050717F"/>
    <w:rsid w:val="0052190E"/>
    <w:rsid w:val="00552AB7"/>
    <w:rsid w:val="0056486F"/>
    <w:rsid w:val="005920E6"/>
    <w:rsid w:val="0059783A"/>
    <w:rsid w:val="005E6C8F"/>
    <w:rsid w:val="00630588"/>
    <w:rsid w:val="006549F3"/>
    <w:rsid w:val="00660842"/>
    <w:rsid w:val="00673DBA"/>
    <w:rsid w:val="006B1897"/>
    <w:rsid w:val="006D0EE6"/>
    <w:rsid w:val="006E0D48"/>
    <w:rsid w:val="006E5C5B"/>
    <w:rsid w:val="007062B0"/>
    <w:rsid w:val="00707170"/>
    <w:rsid w:val="00715662"/>
    <w:rsid w:val="007423C5"/>
    <w:rsid w:val="00760274"/>
    <w:rsid w:val="00780A0E"/>
    <w:rsid w:val="0078269B"/>
    <w:rsid w:val="00793F80"/>
    <w:rsid w:val="007C00DA"/>
    <w:rsid w:val="007E4571"/>
    <w:rsid w:val="007E74E9"/>
    <w:rsid w:val="00825ADF"/>
    <w:rsid w:val="008279D1"/>
    <w:rsid w:val="00884D51"/>
    <w:rsid w:val="008A7A7B"/>
    <w:rsid w:val="008B35BD"/>
    <w:rsid w:val="008D4198"/>
    <w:rsid w:val="00904A23"/>
    <w:rsid w:val="009055C8"/>
    <w:rsid w:val="00905F53"/>
    <w:rsid w:val="00915B8D"/>
    <w:rsid w:val="009215D2"/>
    <w:rsid w:val="009278CB"/>
    <w:rsid w:val="00931518"/>
    <w:rsid w:val="00940281"/>
    <w:rsid w:val="00945B3C"/>
    <w:rsid w:val="00953BC9"/>
    <w:rsid w:val="0096397B"/>
    <w:rsid w:val="009F0436"/>
    <w:rsid w:val="009F17E7"/>
    <w:rsid w:val="00A2131E"/>
    <w:rsid w:val="00A37EAE"/>
    <w:rsid w:val="00A53476"/>
    <w:rsid w:val="00A54F7A"/>
    <w:rsid w:val="00A71E9A"/>
    <w:rsid w:val="00AB56D1"/>
    <w:rsid w:val="00B14FD5"/>
    <w:rsid w:val="00B540EF"/>
    <w:rsid w:val="00B85124"/>
    <w:rsid w:val="00BD1CB5"/>
    <w:rsid w:val="00BD5C9E"/>
    <w:rsid w:val="00BE62AF"/>
    <w:rsid w:val="00C03AA6"/>
    <w:rsid w:val="00C1521B"/>
    <w:rsid w:val="00C30E59"/>
    <w:rsid w:val="00C332F1"/>
    <w:rsid w:val="00C46241"/>
    <w:rsid w:val="00C4717F"/>
    <w:rsid w:val="00C82F24"/>
    <w:rsid w:val="00CC1034"/>
    <w:rsid w:val="00CC59AE"/>
    <w:rsid w:val="00CC5AE7"/>
    <w:rsid w:val="00CF18B3"/>
    <w:rsid w:val="00D040F6"/>
    <w:rsid w:val="00D269A4"/>
    <w:rsid w:val="00D53E9D"/>
    <w:rsid w:val="00D54584"/>
    <w:rsid w:val="00D83B46"/>
    <w:rsid w:val="00D95578"/>
    <w:rsid w:val="00DA3538"/>
    <w:rsid w:val="00DB6FA9"/>
    <w:rsid w:val="00DC00A6"/>
    <w:rsid w:val="00DD2500"/>
    <w:rsid w:val="00DE71EF"/>
    <w:rsid w:val="00E041E4"/>
    <w:rsid w:val="00E10676"/>
    <w:rsid w:val="00E256E3"/>
    <w:rsid w:val="00E50C5C"/>
    <w:rsid w:val="00E50E90"/>
    <w:rsid w:val="00E63C85"/>
    <w:rsid w:val="00E77B11"/>
    <w:rsid w:val="00E80897"/>
    <w:rsid w:val="00EA2A3A"/>
    <w:rsid w:val="00F06E20"/>
    <w:rsid w:val="00F1346E"/>
    <w:rsid w:val="00F23C7C"/>
    <w:rsid w:val="00F82F5C"/>
    <w:rsid w:val="00FA7178"/>
    <w:rsid w:val="00FA7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FE11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2190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52190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2190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2190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2190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52190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52190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52190E"/>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90E"/>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52190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2190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2190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2190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52190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52190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52190E"/>
    <w:rPr>
      <w:rFonts w:asciiTheme="majorHAnsi" w:eastAsiaTheme="majorEastAsia" w:hAnsiTheme="majorHAnsi" w:cstheme="majorBidi"/>
      <w:color w:val="404040" w:themeColor="text1" w:themeTint="BF"/>
      <w:sz w:val="20"/>
      <w:szCs w:val="20"/>
    </w:rPr>
  </w:style>
  <w:style w:type="character" w:customStyle="1" w:styleId="st">
    <w:name w:val="st"/>
    <w:basedOn w:val="DefaultParagraphFont"/>
    <w:rsid w:val="007C00DA"/>
  </w:style>
  <w:style w:type="character" w:styleId="Strong">
    <w:name w:val="Strong"/>
    <w:basedOn w:val="DefaultParagraphFont"/>
    <w:uiPriority w:val="22"/>
    <w:qFormat/>
    <w:rsid w:val="00E041E4"/>
    <w:rPr>
      <w:b/>
      <w:bCs/>
    </w:rPr>
  </w:style>
  <w:style w:type="paragraph" w:styleId="Footer">
    <w:name w:val="footer"/>
    <w:basedOn w:val="Normal"/>
    <w:link w:val="FooterChar"/>
    <w:uiPriority w:val="99"/>
    <w:unhideWhenUsed/>
    <w:rsid w:val="002F3128"/>
    <w:pPr>
      <w:tabs>
        <w:tab w:val="center" w:pos="4703"/>
        <w:tab w:val="right" w:pos="9406"/>
      </w:tabs>
    </w:pPr>
  </w:style>
  <w:style w:type="character" w:customStyle="1" w:styleId="FooterChar">
    <w:name w:val="Footer Char"/>
    <w:basedOn w:val="DefaultParagraphFont"/>
    <w:link w:val="Footer"/>
    <w:uiPriority w:val="99"/>
    <w:rsid w:val="002F3128"/>
  </w:style>
  <w:style w:type="character" w:styleId="PageNumber">
    <w:name w:val="page number"/>
    <w:basedOn w:val="DefaultParagraphFont"/>
    <w:uiPriority w:val="99"/>
    <w:semiHidden/>
    <w:unhideWhenUsed/>
    <w:rsid w:val="002F3128"/>
  </w:style>
  <w:style w:type="character" w:styleId="Emphasis">
    <w:name w:val="Emphasis"/>
    <w:basedOn w:val="DefaultParagraphFont"/>
    <w:uiPriority w:val="20"/>
    <w:qFormat/>
    <w:rsid w:val="00CC59AE"/>
    <w:rPr>
      <w:i/>
      <w:iCs/>
    </w:rPr>
  </w:style>
  <w:style w:type="character" w:styleId="Hyperlink">
    <w:name w:val="Hyperlink"/>
    <w:basedOn w:val="DefaultParagraphFont"/>
    <w:uiPriority w:val="99"/>
    <w:unhideWhenUsed/>
    <w:rsid w:val="008A7A7B"/>
    <w:rPr>
      <w:color w:val="0000FF" w:themeColor="hyperlink"/>
      <w:u w:val="single"/>
    </w:rPr>
  </w:style>
  <w:style w:type="character" w:customStyle="1" w:styleId="a-size-small">
    <w:name w:val="a-size-small"/>
    <w:basedOn w:val="DefaultParagraphFont"/>
    <w:rsid w:val="008A7A7B"/>
  </w:style>
  <w:style w:type="character" w:customStyle="1" w:styleId="a-label">
    <w:name w:val="a-label"/>
    <w:basedOn w:val="DefaultParagraphFont"/>
    <w:rsid w:val="00000C99"/>
  </w:style>
  <w:style w:type="character" w:customStyle="1" w:styleId="book-title">
    <w:name w:val="book-title"/>
    <w:basedOn w:val="DefaultParagraphFont"/>
    <w:rsid w:val="007E74E9"/>
  </w:style>
  <w:style w:type="character" w:customStyle="1" w:styleId="contributors">
    <w:name w:val="contributors"/>
    <w:basedOn w:val="DefaultParagraphFont"/>
    <w:rsid w:val="007E74E9"/>
  </w:style>
  <w:style w:type="paragraph" w:styleId="NoSpacing">
    <w:name w:val="No Spacing"/>
    <w:uiPriority w:val="1"/>
    <w:qFormat/>
    <w:rsid w:val="007E74E9"/>
  </w:style>
  <w:style w:type="character" w:styleId="FollowedHyperlink">
    <w:name w:val="FollowedHyperlink"/>
    <w:basedOn w:val="DefaultParagraphFont"/>
    <w:uiPriority w:val="99"/>
    <w:semiHidden/>
    <w:unhideWhenUsed/>
    <w:rsid w:val="00E50C5C"/>
    <w:rPr>
      <w:color w:val="800080" w:themeColor="followedHyperlink"/>
      <w:u w:val="single"/>
    </w:rPr>
  </w:style>
  <w:style w:type="character" w:customStyle="1" w:styleId="auteur-content">
    <w:name w:val="auteur-content"/>
    <w:basedOn w:val="DefaultParagraphFont"/>
    <w:rsid w:val="00BD1CB5"/>
  </w:style>
  <w:style w:type="character" w:customStyle="1" w:styleId="listeouvragelibelle">
    <w:name w:val="liste_ouvrage_libelle"/>
    <w:basedOn w:val="DefaultParagraphFont"/>
    <w:rsid w:val="00BD1CB5"/>
  </w:style>
  <w:style w:type="character" w:customStyle="1" w:styleId="fn">
    <w:name w:val="fn"/>
    <w:basedOn w:val="DefaultParagraphFont"/>
    <w:rsid w:val="00E77B11"/>
  </w:style>
  <w:style w:type="character" w:customStyle="1" w:styleId="Subtitle1">
    <w:name w:val="Subtitle1"/>
    <w:basedOn w:val="DefaultParagraphFont"/>
    <w:rsid w:val="00E77B11"/>
  </w:style>
  <w:style w:type="paragraph" w:styleId="Header">
    <w:name w:val="header"/>
    <w:basedOn w:val="Normal"/>
    <w:link w:val="HeaderChar"/>
    <w:uiPriority w:val="99"/>
    <w:unhideWhenUsed/>
    <w:rsid w:val="00D53E9D"/>
    <w:pPr>
      <w:tabs>
        <w:tab w:val="center" w:pos="4536"/>
        <w:tab w:val="right" w:pos="9072"/>
      </w:tabs>
    </w:pPr>
  </w:style>
  <w:style w:type="character" w:customStyle="1" w:styleId="HeaderChar">
    <w:name w:val="Header Char"/>
    <w:basedOn w:val="DefaultParagraphFont"/>
    <w:link w:val="Header"/>
    <w:uiPriority w:val="99"/>
    <w:rsid w:val="00D53E9D"/>
  </w:style>
  <w:style w:type="paragraph" w:styleId="BalloonText">
    <w:name w:val="Balloon Text"/>
    <w:basedOn w:val="Normal"/>
    <w:link w:val="BalloonTextChar"/>
    <w:uiPriority w:val="99"/>
    <w:semiHidden/>
    <w:unhideWhenUsed/>
    <w:rsid w:val="00D53E9D"/>
    <w:rPr>
      <w:rFonts w:ascii="Tahoma" w:hAnsi="Tahoma" w:cs="Tahoma"/>
      <w:sz w:val="16"/>
      <w:szCs w:val="16"/>
    </w:rPr>
  </w:style>
  <w:style w:type="character" w:customStyle="1" w:styleId="BalloonTextChar">
    <w:name w:val="Balloon Text Char"/>
    <w:basedOn w:val="DefaultParagraphFont"/>
    <w:link w:val="BalloonText"/>
    <w:uiPriority w:val="99"/>
    <w:semiHidden/>
    <w:rsid w:val="00D53E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2190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52190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2190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2190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2190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52190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52190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52190E"/>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90E"/>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52190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2190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2190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2190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52190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52190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52190E"/>
    <w:rPr>
      <w:rFonts w:asciiTheme="majorHAnsi" w:eastAsiaTheme="majorEastAsia" w:hAnsiTheme="majorHAnsi" w:cstheme="majorBidi"/>
      <w:color w:val="404040" w:themeColor="text1" w:themeTint="BF"/>
      <w:sz w:val="20"/>
      <w:szCs w:val="20"/>
    </w:rPr>
  </w:style>
  <w:style w:type="character" w:customStyle="1" w:styleId="st">
    <w:name w:val="st"/>
    <w:basedOn w:val="DefaultParagraphFont"/>
    <w:rsid w:val="007C00DA"/>
  </w:style>
  <w:style w:type="character" w:styleId="Strong">
    <w:name w:val="Strong"/>
    <w:basedOn w:val="DefaultParagraphFont"/>
    <w:uiPriority w:val="22"/>
    <w:qFormat/>
    <w:rsid w:val="00E041E4"/>
    <w:rPr>
      <w:b/>
      <w:bCs/>
    </w:rPr>
  </w:style>
  <w:style w:type="paragraph" w:styleId="Footer">
    <w:name w:val="footer"/>
    <w:basedOn w:val="Normal"/>
    <w:link w:val="FooterChar"/>
    <w:uiPriority w:val="99"/>
    <w:unhideWhenUsed/>
    <w:rsid w:val="002F3128"/>
    <w:pPr>
      <w:tabs>
        <w:tab w:val="center" w:pos="4703"/>
        <w:tab w:val="right" w:pos="9406"/>
      </w:tabs>
    </w:pPr>
  </w:style>
  <w:style w:type="character" w:customStyle="1" w:styleId="FooterChar">
    <w:name w:val="Footer Char"/>
    <w:basedOn w:val="DefaultParagraphFont"/>
    <w:link w:val="Footer"/>
    <w:uiPriority w:val="99"/>
    <w:rsid w:val="002F3128"/>
  </w:style>
  <w:style w:type="character" w:styleId="PageNumber">
    <w:name w:val="page number"/>
    <w:basedOn w:val="DefaultParagraphFont"/>
    <w:uiPriority w:val="99"/>
    <w:semiHidden/>
    <w:unhideWhenUsed/>
    <w:rsid w:val="002F3128"/>
  </w:style>
  <w:style w:type="character" w:styleId="Emphasis">
    <w:name w:val="Emphasis"/>
    <w:basedOn w:val="DefaultParagraphFont"/>
    <w:uiPriority w:val="20"/>
    <w:qFormat/>
    <w:rsid w:val="00CC59AE"/>
    <w:rPr>
      <w:i/>
      <w:iCs/>
    </w:rPr>
  </w:style>
  <w:style w:type="character" w:styleId="Hyperlink">
    <w:name w:val="Hyperlink"/>
    <w:basedOn w:val="DefaultParagraphFont"/>
    <w:uiPriority w:val="99"/>
    <w:unhideWhenUsed/>
    <w:rsid w:val="008A7A7B"/>
    <w:rPr>
      <w:color w:val="0000FF" w:themeColor="hyperlink"/>
      <w:u w:val="single"/>
    </w:rPr>
  </w:style>
  <w:style w:type="character" w:customStyle="1" w:styleId="a-size-small">
    <w:name w:val="a-size-small"/>
    <w:basedOn w:val="DefaultParagraphFont"/>
    <w:rsid w:val="008A7A7B"/>
  </w:style>
  <w:style w:type="character" w:customStyle="1" w:styleId="a-label">
    <w:name w:val="a-label"/>
    <w:basedOn w:val="DefaultParagraphFont"/>
    <w:rsid w:val="00000C99"/>
  </w:style>
  <w:style w:type="character" w:customStyle="1" w:styleId="book-title">
    <w:name w:val="book-title"/>
    <w:basedOn w:val="DefaultParagraphFont"/>
    <w:rsid w:val="007E74E9"/>
  </w:style>
  <w:style w:type="character" w:customStyle="1" w:styleId="contributors">
    <w:name w:val="contributors"/>
    <w:basedOn w:val="DefaultParagraphFont"/>
    <w:rsid w:val="007E74E9"/>
  </w:style>
  <w:style w:type="paragraph" w:styleId="NoSpacing">
    <w:name w:val="No Spacing"/>
    <w:uiPriority w:val="1"/>
    <w:qFormat/>
    <w:rsid w:val="007E74E9"/>
  </w:style>
  <w:style w:type="character" w:styleId="FollowedHyperlink">
    <w:name w:val="FollowedHyperlink"/>
    <w:basedOn w:val="DefaultParagraphFont"/>
    <w:uiPriority w:val="99"/>
    <w:semiHidden/>
    <w:unhideWhenUsed/>
    <w:rsid w:val="00E50C5C"/>
    <w:rPr>
      <w:color w:val="800080" w:themeColor="followedHyperlink"/>
      <w:u w:val="single"/>
    </w:rPr>
  </w:style>
  <w:style w:type="character" w:customStyle="1" w:styleId="auteur-content">
    <w:name w:val="auteur-content"/>
    <w:basedOn w:val="DefaultParagraphFont"/>
    <w:rsid w:val="00BD1CB5"/>
  </w:style>
  <w:style w:type="character" w:customStyle="1" w:styleId="listeouvragelibelle">
    <w:name w:val="liste_ouvrage_libelle"/>
    <w:basedOn w:val="DefaultParagraphFont"/>
    <w:rsid w:val="00BD1CB5"/>
  </w:style>
  <w:style w:type="character" w:customStyle="1" w:styleId="fn">
    <w:name w:val="fn"/>
    <w:basedOn w:val="DefaultParagraphFont"/>
    <w:rsid w:val="00E77B11"/>
  </w:style>
  <w:style w:type="character" w:customStyle="1" w:styleId="Subtitle1">
    <w:name w:val="Subtitle1"/>
    <w:basedOn w:val="DefaultParagraphFont"/>
    <w:rsid w:val="00E77B11"/>
  </w:style>
  <w:style w:type="paragraph" w:styleId="Header">
    <w:name w:val="header"/>
    <w:basedOn w:val="Normal"/>
    <w:link w:val="HeaderChar"/>
    <w:uiPriority w:val="99"/>
    <w:unhideWhenUsed/>
    <w:rsid w:val="00D53E9D"/>
    <w:pPr>
      <w:tabs>
        <w:tab w:val="center" w:pos="4536"/>
        <w:tab w:val="right" w:pos="9072"/>
      </w:tabs>
    </w:pPr>
  </w:style>
  <w:style w:type="character" w:customStyle="1" w:styleId="HeaderChar">
    <w:name w:val="Header Char"/>
    <w:basedOn w:val="DefaultParagraphFont"/>
    <w:link w:val="Header"/>
    <w:uiPriority w:val="99"/>
    <w:rsid w:val="00D53E9D"/>
  </w:style>
  <w:style w:type="paragraph" w:styleId="BalloonText">
    <w:name w:val="Balloon Text"/>
    <w:basedOn w:val="Normal"/>
    <w:link w:val="BalloonTextChar"/>
    <w:uiPriority w:val="99"/>
    <w:semiHidden/>
    <w:unhideWhenUsed/>
    <w:rsid w:val="00D53E9D"/>
    <w:rPr>
      <w:rFonts w:ascii="Tahoma" w:hAnsi="Tahoma" w:cs="Tahoma"/>
      <w:sz w:val="16"/>
      <w:szCs w:val="16"/>
    </w:rPr>
  </w:style>
  <w:style w:type="character" w:customStyle="1" w:styleId="BalloonTextChar">
    <w:name w:val="Balloon Text Char"/>
    <w:basedOn w:val="DefaultParagraphFont"/>
    <w:link w:val="BalloonText"/>
    <w:uiPriority w:val="99"/>
    <w:semiHidden/>
    <w:rsid w:val="00D53E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06388">
      <w:bodyDiv w:val="1"/>
      <w:marLeft w:val="0"/>
      <w:marRight w:val="0"/>
      <w:marTop w:val="0"/>
      <w:marBottom w:val="0"/>
      <w:divBdr>
        <w:top w:val="none" w:sz="0" w:space="0" w:color="auto"/>
        <w:left w:val="none" w:sz="0" w:space="0" w:color="auto"/>
        <w:bottom w:val="none" w:sz="0" w:space="0" w:color="auto"/>
        <w:right w:val="none" w:sz="0" w:space="0" w:color="auto"/>
      </w:divBdr>
      <w:divsChild>
        <w:div w:id="1558053835">
          <w:marLeft w:val="0"/>
          <w:marRight w:val="0"/>
          <w:marTop w:val="0"/>
          <w:marBottom w:val="0"/>
          <w:divBdr>
            <w:top w:val="none" w:sz="0" w:space="0" w:color="auto"/>
            <w:left w:val="none" w:sz="0" w:space="0" w:color="auto"/>
            <w:bottom w:val="none" w:sz="0" w:space="0" w:color="auto"/>
            <w:right w:val="none" w:sz="0" w:space="0" w:color="auto"/>
          </w:divBdr>
        </w:div>
        <w:div w:id="70123802">
          <w:marLeft w:val="0"/>
          <w:marRight w:val="0"/>
          <w:marTop w:val="0"/>
          <w:marBottom w:val="0"/>
          <w:divBdr>
            <w:top w:val="none" w:sz="0" w:space="0" w:color="auto"/>
            <w:left w:val="none" w:sz="0" w:space="0" w:color="auto"/>
            <w:bottom w:val="none" w:sz="0" w:space="0" w:color="auto"/>
            <w:right w:val="none" w:sz="0" w:space="0" w:color="auto"/>
          </w:divBdr>
        </w:div>
        <w:div w:id="982999655">
          <w:marLeft w:val="0"/>
          <w:marRight w:val="0"/>
          <w:marTop w:val="0"/>
          <w:marBottom w:val="0"/>
          <w:divBdr>
            <w:top w:val="none" w:sz="0" w:space="0" w:color="auto"/>
            <w:left w:val="none" w:sz="0" w:space="0" w:color="auto"/>
            <w:bottom w:val="none" w:sz="0" w:space="0" w:color="auto"/>
            <w:right w:val="none" w:sz="0" w:space="0" w:color="auto"/>
          </w:divBdr>
        </w:div>
        <w:div w:id="569926313">
          <w:marLeft w:val="0"/>
          <w:marRight w:val="0"/>
          <w:marTop w:val="0"/>
          <w:marBottom w:val="0"/>
          <w:divBdr>
            <w:top w:val="none" w:sz="0" w:space="0" w:color="auto"/>
            <w:left w:val="none" w:sz="0" w:space="0" w:color="auto"/>
            <w:bottom w:val="none" w:sz="0" w:space="0" w:color="auto"/>
            <w:right w:val="none" w:sz="0" w:space="0" w:color="auto"/>
          </w:divBdr>
        </w:div>
        <w:div w:id="245921524">
          <w:marLeft w:val="0"/>
          <w:marRight w:val="0"/>
          <w:marTop w:val="0"/>
          <w:marBottom w:val="0"/>
          <w:divBdr>
            <w:top w:val="none" w:sz="0" w:space="0" w:color="auto"/>
            <w:left w:val="none" w:sz="0" w:space="0" w:color="auto"/>
            <w:bottom w:val="none" w:sz="0" w:space="0" w:color="auto"/>
            <w:right w:val="none" w:sz="0" w:space="0" w:color="auto"/>
          </w:divBdr>
        </w:div>
        <w:div w:id="346835515">
          <w:marLeft w:val="0"/>
          <w:marRight w:val="0"/>
          <w:marTop w:val="0"/>
          <w:marBottom w:val="0"/>
          <w:divBdr>
            <w:top w:val="none" w:sz="0" w:space="0" w:color="auto"/>
            <w:left w:val="none" w:sz="0" w:space="0" w:color="auto"/>
            <w:bottom w:val="none" w:sz="0" w:space="0" w:color="auto"/>
            <w:right w:val="none" w:sz="0" w:space="0" w:color="auto"/>
          </w:divBdr>
        </w:div>
        <w:div w:id="1458571743">
          <w:marLeft w:val="0"/>
          <w:marRight w:val="0"/>
          <w:marTop w:val="0"/>
          <w:marBottom w:val="0"/>
          <w:divBdr>
            <w:top w:val="none" w:sz="0" w:space="0" w:color="auto"/>
            <w:left w:val="none" w:sz="0" w:space="0" w:color="auto"/>
            <w:bottom w:val="none" w:sz="0" w:space="0" w:color="auto"/>
            <w:right w:val="none" w:sz="0" w:space="0" w:color="auto"/>
          </w:divBdr>
        </w:div>
        <w:div w:id="1079054873">
          <w:marLeft w:val="0"/>
          <w:marRight w:val="0"/>
          <w:marTop w:val="0"/>
          <w:marBottom w:val="0"/>
          <w:divBdr>
            <w:top w:val="none" w:sz="0" w:space="0" w:color="auto"/>
            <w:left w:val="none" w:sz="0" w:space="0" w:color="auto"/>
            <w:bottom w:val="none" w:sz="0" w:space="0" w:color="auto"/>
            <w:right w:val="none" w:sz="0" w:space="0" w:color="auto"/>
          </w:divBdr>
        </w:div>
        <w:div w:id="1241208019">
          <w:marLeft w:val="0"/>
          <w:marRight w:val="0"/>
          <w:marTop w:val="0"/>
          <w:marBottom w:val="0"/>
          <w:divBdr>
            <w:top w:val="none" w:sz="0" w:space="0" w:color="auto"/>
            <w:left w:val="none" w:sz="0" w:space="0" w:color="auto"/>
            <w:bottom w:val="none" w:sz="0" w:space="0" w:color="auto"/>
            <w:right w:val="none" w:sz="0" w:space="0" w:color="auto"/>
          </w:divBdr>
        </w:div>
        <w:div w:id="1173646067">
          <w:marLeft w:val="0"/>
          <w:marRight w:val="0"/>
          <w:marTop w:val="0"/>
          <w:marBottom w:val="0"/>
          <w:divBdr>
            <w:top w:val="none" w:sz="0" w:space="0" w:color="auto"/>
            <w:left w:val="none" w:sz="0" w:space="0" w:color="auto"/>
            <w:bottom w:val="none" w:sz="0" w:space="0" w:color="auto"/>
            <w:right w:val="none" w:sz="0" w:space="0" w:color="auto"/>
          </w:divBdr>
        </w:div>
        <w:div w:id="190262059">
          <w:marLeft w:val="0"/>
          <w:marRight w:val="0"/>
          <w:marTop w:val="0"/>
          <w:marBottom w:val="0"/>
          <w:divBdr>
            <w:top w:val="none" w:sz="0" w:space="0" w:color="auto"/>
            <w:left w:val="none" w:sz="0" w:space="0" w:color="auto"/>
            <w:bottom w:val="none" w:sz="0" w:space="0" w:color="auto"/>
            <w:right w:val="none" w:sz="0" w:space="0" w:color="auto"/>
          </w:divBdr>
        </w:div>
        <w:div w:id="927881622">
          <w:marLeft w:val="0"/>
          <w:marRight w:val="0"/>
          <w:marTop w:val="0"/>
          <w:marBottom w:val="0"/>
          <w:divBdr>
            <w:top w:val="none" w:sz="0" w:space="0" w:color="auto"/>
            <w:left w:val="none" w:sz="0" w:space="0" w:color="auto"/>
            <w:bottom w:val="none" w:sz="0" w:space="0" w:color="auto"/>
            <w:right w:val="none" w:sz="0" w:space="0" w:color="auto"/>
          </w:divBdr>
        </w:div>
        <w:div w:id="1697383466">
          <w:marLeft w:val="0"/>
          <w:marRight w:val="0"/>
          <w:marTop w:val="0"/>
          <w:marBottom w:val="0"/>
          <w:divBdr>
            <w:top w:val="none" w:sz="0" w:space="0" w:color="auto"/>
            <w:left w:val="none" w:sz="0" w:space="0" w:color="auto"/>
            <w:bottom w:val="none" w:sz="0" w:space="0" w:color="auto"/>
            <w:right w:val="none" w:sz="0" w:space="0" w:color="auto"/>
          </w:divBdr>
        </w:div>
        <w:div w:id="1055616229">
          <w:marLeft w:val="0"/>
          <w:marRight w:val="0"/>
          <w:marTop w:val="0"/>
          <w:marBottom w:val="0"/>
          <w:divBdr>
            <w:top w:val="none" w:sz="0" w:space="0" w:color="auto"/>
            <w:left w:val="none" w:sz="0" w:space="0" w:color="auto"/>
            <w:bottom w:val="none" w:sz="0" w:space="0" w:color="auto"/>
            <w:right w:val="none" w:sz="0" w:space="0" w:color="auto"/>
          </w:divBdr>
        </w:div>
        <w:div w:id="672563066">
          <w:marLeft w:val="0"/>
          <w:marRight w:val="0"/>
          <w:marTop w:val="0"/>
          <w:marBottom w:val="0"/>
          <w:divBdr>
            <w:top w:val="none" w:sz="0" w:space="0" w:color="auto"/>
            <w:left w:val="none" w:sz="0" w:space="0" w:color="auto"/>
            <w:bottom w:val="none" w:sz="0" w:space="0" w:color="auto"/>
            <w:right w:val="none" w:sz="0" w:space="0" w:color="auto"/>
          </w:divBdr>
        </w:div>
        <w:div w:id="292442510">
          <w:marLeft w:val="0"/>
          <w:marRight w:val="0"/>
          <w:marTop w:val="0"/>
          <w:marBottom w:val="0"/>
          <w:divBdr>
            <w:top w:val="none" w:sz="0" w:space="0" w:color="auto"/>
            <w:left w:val="none" w:sz="0" w:space="0" w:color="auto"/>
            <w:bottom w:val="none" w:sz="0" w:space="0" w:color="auto"/>
            <w:right w:val="none" w:sz="0" w:space="0" w:color="auto"/>
          </w:divBdr>
        </w:div>
        <w:div w:id="1230768852">
          <w:marLeft w:val="0"/>
          <w:marRight w:val="0"/>
          <w:marTop w:val="0"/>
          <w:marBottom w:val="0"/>
          <w:divBdr>
            <w:top w:val="none" w:sz="0" w:space="0" w:color="auto"/>
            <w:left w:val="none" w:sz="0" w:space="0" w:color="auto"/>
            <w:bottom w:val="none" w:sz="0" w:space="0" w:color="auto"/>
            <w:right w:val="none" w:sz="0" w:space="0" w:color="auto"/>
          </w:divBdr>
        </w:div>
        <w:div w:id="1803496588">
          <w:marLeft w:val="0"/>
          <w:marRight w:val="0"/>
          <w:marTop w:val="0"/>
          <w:marBottom w:val="0"/>
          <w:divBdr>
            <w:top w:val="none" w:sz="0" w:space="0" w:color="auto"/>
            <w:left w:val="none" w:sz="0" w:space="0" w:color="auto"/>
            <w:bottom w:val="none" w:sz="0" w:space="0" w:color="auto"/>
            <w:right w:val="none" w:sz="0" w:space="0" w:color="auto"/>
          </w:divBdr>
        </w:div>
        <w:div w:id="225188644">
          <w:marLeft w:val="0"/>
          <w:marRight w:val="0"/>
          <w:marTop w:val="0"/>
          <w:marBottom w:val="0"/>
          <w:divBdr>
            <w:top w:val="none" w:sz="0" w:space="0" w:color="auto"/>
            <w:left w:val="none" w:sz="0" w:space="0" w:color="auto"/>
            <w:bottom w:val="none" w:sz="0" w:space="0" w:color="auto"/>
            <w:right w:val="none" w:sz="0" w:space="0" w:color="auto"/>
          </w:divBdr>
        </w:div>
        <w:div w:id="1139764381">
          <w:marLeft w:val="0"/>
          <w:marRight w:val="0"/>
          <w:marTop w:val="0"/>
          <w:marBottom w:val="0"/>
          <w:divBdr>
            <w:top w:val="none" w:sz="0" w:space="0" w:color="auto"/>
            <w:left w:val="none" w:sz="0" w:space="0" w:color="auto"/>
            <w:bottom w:val="none" w:sz="0" w:space="0" w:color="auto"/>
            <w:right w:val="none" w:sz="0" w:space="0" w:color="auto"/>
          </w:divBdr>
        </w:div>
        <w:div w:id="1699161526">
          <w:marLeft w:val="0"/>
          <w:marRight w:val="0"/>
          <w:marTop w:val="0"/>
          <w:marBottom w:val="0"/>
          <w:divBdr>
            <w:top w:val="none" w:sz="0" w:space="0" w:color="auto"/>
            <w:left w:val="none" w:sz="0" w:space="0" w:color="auto"/>
            <w:bottom w:val="none" w:sz="0" w:space="0" w:color="auto"/>
            <w:right w:val="none" w:sz="0" w:space="0" w:color="auto"/>
          </w:divBdr>
        </w:div>
        <w:div w:id="1463647511">
          <w:marLeft w:val="0"/>
          <w:marRight w:val="0"/>
          <w:marTop w:val="0"/>
          <w:marBottom w:val="0"/>
          <w:divBdr>
            <w:top w:val="none" w:sz="0" w:space="0" w:color="auto"/>
            <w:left w:val="none" w:sz="0" w:space="0" w:color="auto"/>
            <w:bottom w:val="none" w:sz="0" w:space="0" w:color="auto"/>
            <w:right w:val="none" w:sz="0" w:space="0" w:color="auto"/>
          </w:divBdr>
        </w:div>
      </w:divsChild>
    </w:div>
    <w:div w:id="332755840">
      <w:bodyDiv w:val="1"/>
      <w:marLeft w:val="0"/>
      <w:marRight w:val="0"/>
      <w:marTop w:val="0"/>
      <w:marBottom w:val="0"/>
      <w:divBdr>
        <w:top w:val="none" w:sz="0" w:space="0" w:color="auto"/>
        <w:left w:val="none" w:sz="0" w:space="0" w:color="auto"/>
        <w:bottom w:val="none" w:sz="0" w:space="0" w:color="auto"/>
        <w:right w:val="none" w:sz="0" w:space="0" w:color="auto"/>
      </w:divBdr>
    </w:div>
    <w:div w:id="388649861">
      <w:bodyDiv w:val="1"/>
      <w:marLeft w:val="0"/>
      <w:marRight w:val="0"/>
      <w:marTop w:val="0"/>
      <w:marBottom w:val="0"/>
      <w:divBdr>
        <w:top w:val="none" w:sz="0" w:space="0" w:color="auto"/>
        <w:left w:val="none" w:sz="0" w:space="0" w:color="auto"/>
        <w:bottom w:val="none" w:sz="0" w:space="0" w:color="auto"/>
        <w:right w:val="none" w:sz="0" w:space="0" w:color="auto"/>
      </w:divBdr>
    </w:div>
    <w:div w:id="410353299">
      <w:bodyDiv w:val="1"/>
      <w:marLeft w:val="0"/>
      <w:marRight w:val="0"/>
      <w:marTop w:val="0"/>
      <w:marBottom w:val="0"/>
      <w:divBdr>
        <w:top w:val="none" w:sz="0" w:space="0" w:color="auto"/>
        <w:left w:val="none" w:sz="0" w:space="0" w:color="auto"/>
        <w:bottom w:val="none" w:sz="0" w:space="0" w:color="auto"/>
        <w:right w:val="none" w:sz="0" w:space="0" w:color="auto"/>
      </w:divBdr>
    </w:div>
    <w:div w:id="538512515">
      <w:bodyDiv w:val="1"/>
      <w:marLeft w:val="0"/>
      <w:marRight w:val="0"/>
      <w:marTop w:val="0"/>
      <w:marBottom w:val="0"/>
      <w:divBdr>
        <w:top w:val="none" w:sz="0" w:space="0" w:color="auto"/>
        <w:left w:val="none" w:sz="0" w:space="0" w:color="auto"/>
        <w:bottom w:val="none" w:sz="0" w:space="0" w:color="auto"/>
        <w:right w:val="none" w:sz="0" w:space="0" w:color="auto"/>
      </w:divBdr>
    </w:div>
    <w:div w:id="645010006">
      <w:bodyDiv w:val="1"/>
      <w:marLeft w:val="0"/>
      <w:marRight w:val="0"/>
      <w:marTop w:val="0"/>
      <w:marBottom w:val="0"/>
      <w:divBdr>
        <w:top w:val="none" w:sz="0" w:space="0" w:color="auto"/>
        <w:left w:val="none" w:sz="0" w:space="0" w:color="auto"/>
        <w:bottom w:val="none" w:sz="0" w:space="0" w:color="auto"/>
        <w:right w:val="none" w:sz="0" w:space="0" w:color="auto"/>
      </w:divBdr>
    </w:div>
    <w:div w:id="770080021">
      <w:bodyDiv w:val="1"/>
      <w:marLeft w:val="0"/>
      <w:marRight w:val="0"/>
      <w:marTop w:val="0"/>
      <w:marBottom w:val="0"/>
      <w:divBdr>
        <w:top w:val="none" w:sz="0" w:space="0" w:color="auto"/>
        <w:left w:val="none" w:sz="0" w:space="0" w:color="auto"/>
        <w:bottom w:val="none" w:sz="0" w:space="0" w:color="auto"/>
        <w:right w:val="none" w:sz="0" w:space="0" w:color="auto"/>
      </w:divBdr>
    </w:div>
    <w:div w:id="913275909">
      <w:bodyDiv w:val="1"/>
      <w:marLeft w:val="0"/>
      <w:marRight w:val="0"/>
      <w:marTop w:val="0"/>
      <w:marBottom w:val="0"/>
      <w:divBdr>
        <w:top w:val="none" w:sz="0" w:space="0" w:color="auto"/>
        <w:left w:val="none" w:sz="0" w:space="0" w:color="auto"/>
        <w:bottom w:val="none" w:sz="0" w:space="0" w:color="auto"/>
        <w:right w:val="none" w:sz="0" w:space="0" w:color="auto"/>
      </w:divBdr>
      <w:divsChild>
        <w:div w:id="1706910594">
          <w:marLeft w:val="0"/>
          <w:marRight w:val="0"/>
          <w:marTop w:val="0"/>
          <w:marBottom w:val="0"/>
          <w:divBdr>
            <w:top w:val="none" w:sz="0" w:space="0" w:color="auto"/>
            <w:left w:val="none" w:sz="0" w:space="0" w:color="auto"/>
            <w:bottom w:val="none" w:sz="0" w:space="0" w:color="auto"/>
            <w:right w:val="none" w:sz="0" w:space="0" w:color="auto"/>
          </w:divBdr>
        </w:div>
        <w:div w:id="1352217014">
          <w:marLeft w:val="0"/>
          <w:marRight w:val="0"/>
          <w:marTop w:val="0"/>
          <w:marBottom w:val="0"/>
          <w:divBdr>
            <w:top w:val="none" w:sz="0" w:space="0" w:color="auto"/>
            <w:left w:val="none" w:sz="0" w:space="0" w:color="auto"/>
            <w:bottom w:val="none" w:sz="0" w:space="0" w:color="auto"/>
            <w:right w:val="none" w:sz="0" w:space="0" w:color="auto"/>
          </w:divBdr>
        </w:div>
      </w:divsChild>
    </w:div>
    <w:div w:id="997615696">
      <w:bodyDiv w:val="1"/>
      <w:marLeft w:val="0"/>
      <w:marRight w:val="0"/>
      <w:marTop w:val="0"/>
      <w:marBottom w:val="0"/>
      <w:divBdr>
        <w:top w:val="none" w:sz="0" w:space="0" w:color="auto"/>
        <w:left w:val="none" w:sz="0" w:space="0" w:color="auto"/>
        <w:bottom w:val="none" w:sz="0" w:space="0" w:color="auto"/>
        <w:right w:val="none" w:sz="0" w:space="0" w:color="auto"/>
      </w:divBdr>
      <w:divsChild>
        <w:div w:id="1100834052">
          <w:marLeft w:val="0"/>
          <w:marRight w:val="0"/>
          <w:marTop w:val="0"/>
          <w:marBottom w:val="0"/>
          <w:divBdr>
            <w:top w:val="none" w:sz="0" w:space="0" w:color="auto"/>
            <w:left w:val="none" w:sz="0" w:space="0" w:color="auto"/>
            <w:bottom w:val="none" w:sz="0" w:space="0" w:color="auto"/>
            <w:right w:val="none" w:sz="0" w:space="0" w:color="auto"/>
          </w:divBdr>
        </w:div>
        <w:div w:id="2033916356">
          <w:marLeft w:val="0"/>
          <w:marRight w:val="0"/>
          <w:marTop w:val="0"/>
          <w:marBottom w:val="0"/>
          <w:divBdr>
            <w:top w:val="none" w:sz="0" w:space="0" w:color="auto"/>
            <w:left w:val="none" w:sz="0" w:space="0" w:color="auto"/>
            <w:bottom w:val="none" w:sz="0" w:space="0" w:color="auto"/>
            <w:right w:val="none" w:sz="0" w:space="0" w:color="auto"/>
          </w:divBdr>
        </w:div>
        <w:div w:id="62416456">
          <w:marLeft w:val="0"/>
          <w:marRight w:val="0"/>
          <w:marTop w:val="0"/>
          <w:marBottom w:val="0"/>
          <w:divBdr>
            <w:top w:val="none" w:sz="0" w:space="0" w:color="auto"/>
            <w:left w:val="none" w:sz="0" w:space="0" w:color="auto"/>
            <w:bottom w:val="none" w:sz="0" w:space="0" w:color="auto"/>
            <w:right w:val="none" w:sz="0" w:space="0" w:color="auto"/>
          </w:divBdr>
        </w:div>
        <w:div w:id="2077580409">
          <w:marLeft w:val="0"/>
          <w:marRight w:val="0"/>
          <w:marTop w:val="0"/>
          <w:marBottom w:val="0"/>
          <w:divBdr>
            <w:top w:val="none" w:sz="0" w:space="0" w:color="auto"/>
            <w:left w:val="none" w:sz="0" w:space="0" w:color="auto"/>
            <w:bottom w:val="none" w:sz="0" w:space="0" w:color="auto"/>
            <w:right w:val="none" w:sz="0" w:space="0" w:color="auto"/>
          </w:divBdr>
        </w:div>
        <w:div w:id="596988582">
          <w:marLeft w:val="0"/>
          <w:marRight w:val="0"/>
          <w:marTop w:val="0"/>
          <w:marBottom w:val="0"/>
          <w:divBdr>
            <w:top w:val="none" w:sz="0" w:space="0" w:color="auto"/>
            <w:left w:val="none" w:sz="0" w:space="0" w:color="auto"/>
            <w:bottom w:val="none" w:sz="0" w:space="0" w:color="auto"/>
            <w:right w:val="none" w:sz="0" w:space="0" w:color="auto"/>
          </w:divBdr>
        </w:div>
        <w:div w:id="1497959211">
          <w:marLeft w:val="0"/>
          <w:marRight w:val="0"/>
          <w:marTop w:val="0"/>
          <w:marBottom w:val="0"/>
          <w:divBdr>
            <w:top w:val="none" w:sz="0" w:space="0" w:color="auto"/>
            <w:left w:val="none" w:sz="0" w:space="0" w:color="auto"/>
            <w:bottom w:val="none" w:sz="0" w:space="0" w:color="auto"/>
            <w:right w:val="none" w:sz="0" w:space="0" w:color="auto"/>
          </w:divBdr>
        </w:div>
        <w:div w:id="143205314">
          <w:marLeft w:val="0"/>
          <w:marRight w:val="0"/>
          <w:marTop w:val="0"/>
          <w:marBottom w:val="0"/>
          <w:divBdr>
            <w:top w:val="none" w:sz="0" w:space="0" w:color="auto"/>
            <w:left w:val="none" w:sz="0" w:space="0" w:color="auto"/>
            <w:bottom w:val="none" w:sz="0" w:space="0" w:color="auto"/>
            <w:right w:val="none" w:sz="0" w:space="0" w:color="auto"/>
          </w:divBdr>
        </w:div>
        <w:div w:id="1342320063">
          <w:marLeft w:val="0"/>
          <w:marRight w:val="0"/>
          <w:marTop w:val="0"/>
          <w:marBottom w:val="0"/>
          <w:divBdr>
            <w:top w:val="none" w:sz="0" w:space="0" w:color="auto"/>
            <w:left w:val="none" w:sz="0" w:space="0" w:color="auto"/>
            <w:bottom w:val="none" w:sz="0" w:space="0" w:color="auto"/>
            <w:right w:val="none" w:sz="0" w:space="0" w:color="auto"/>
          </w:divBdr>
        </w:div>
        <w:div w:id="61100787">
          <w:marLeft w:val="0"/>
          <w:marRight w:val="0"/>
          <w:marTop w:val="0"/>
          <w:marBottom w:val="0"/>
          <w:divBdr>
            <w:top w:val="none" w:sz="0" w:space="0" w:color="auto"/>
            <w:left w:val="none" w:sz="0" w:space="0" w:color="auto"/>
            <w:bottom w:val="none" w:sz="0" w:space="0" w:color="auto"/>
            <w:right w:val="none" w:sz="0" w:space="0" w:color="auto"/>
          </w:divBdr>
        </w:div>
        <w:div w:id="1613127716">
          <w:marLeft w:val="0"/>
          <w:marRight w:val="0"/>
          <w:marTop w:val="0"/>
          <w:marBottom w:val="0"/>
          <w:divBdr>
            <w:top w:val="none" w:sz="0" w:space="0" w:color="auto"/>
            <w:left w:val="none" w:sz="0" w:space="0" w:color="auto"/>
            <w:bottom w:val="none" w:sz="0" w:space="0" w:color="auto"/>
            <w:right w:val="none" w:sz="0" w:space="0" w:color="auto"/>
          </w:divBdr>
        </w:div>
        <w:div w:id="1882784432">
          <w:marLeft w:val="0"/>
          <w:marRight w:val="0"/>
          <w:marTop w:val="0"/>
          <w:marBottom w:val="0"/>
          <w:divBdr>
            <w:top w:val="none" w:sz="0" w:space="0" w:color="auto"/>
            <w:left w:val="none" w:sz="0" w:space="0" w:color="auto"/>
            <w:bottom w:val="none" w:sz="0" w:space="0" w:color="auto"/>
            <w:right w:val="none" w:sz="0" w:space="0" w:color="auto"/>
          </w:divBdr>
        </w:div>
        <w:div w:id="561255880">
          <w:marLeft w:val="0"/>
          <w:marRight w:val="0"/>
          <w:marTop w:val="0"/>
          <w:marBottom w:val="0"/>
          <w:divBdr>
            <w:top w:val="none" w:sz="0" w:space="0" w:color="auto"/>
            <w:left w:val="none" w:sz="0" w:space="0" w:color="auto"/>
            <w:bottom w:val="none" w:sz="0" w:space="0" w:color="auto"/>
            <w:right w:val="none" w:sz="0" w:space="0" w:color="auto"/>
          </w:divBdr>
        </w:div>
        <w:div w:id="610208888">
          <w:marLeft w:val="0"/>
          <w:marRight w:val="0"/>
          <w:marTop w:val="0"/>
          <w:marBottom w:val="0"/>
          <w:divBdr>
            <w:top w:val="none" w:sz="0" w:space="0" w:color="auto"/>
            <w:left w:val="none" w:sz="0" w:space="0" w:color="auto"/>
            <w:bottom w:val="none" w:sz="0" w:space="0" w:color="auto"/>
            <w:right w:val="none" w:sz="0" w:space="0" w:color="auto"/>
          </w:divBdr>
        </w:div>
        <w:div w:id="1356928634">
          <w:marLeft w:val="0"/>
          <w:marRight w:val="0"/>
          <w:marTop w:val="0"/>
          <w:marBottom w:val="0"/>
          <w:divBdr>
            <w:top w:val="none" w:sz="0" w:space="0" w:color="auto"/>
            <w:left w:val="none" w:sz="0" w:space="0" w:color="auto"/>
            <w:bottom w:val="none" w:sz="0" w:space="0" w:color="auto"/>
            <w:right w:val="none" w:sz="0" w:space="0" w:color="auto"/>
          </w:divBdr>
        </w:div>
        <w:div w:id="1257711405">
          <w:marLeft w:val="0"/>
          <w:marRight w:val="0"/>
          <w:marTop w:val="0"/>
          <w:marBottom w:val="0"/>
          <w:divBdr>
            <w:top w:val="none" w:sz="0" w:space="0" w:color="auto"/>
            <w:left w:val="none" w:sz="0" w:space="0" w:color="auto"/>
            <w:bottom w:val="none" w:sz="0" w:space="0" w:color="auto"/>
            <w:right w:val="none" w:sz="0" w:space="0" w:color="auto"/>
          </w:divBdr>
        </w:div>
        <w:div w:id="1944260277">
          <w:marLeft w:val="0"/>
          <w:marRight w:val="0"/>
          <w:marTop w:val="0"/>
          <w:marBottom w:val="0"/>
          <w:divBdr>
            <w:top w:val="none" w:sz="0" w:space="0" w:color="auto"/>
            <w:left w:val="none" w:sz="0" w:space="0" w:color="auto"/>
            <w:bottom w:val="none" w:sz="0" w:space="0" w:color="auto"/>
            <w:right w:val="none" w:sz="0" w:space="0" w:color="auto"/>
          </w:divBdr>
        </w:div>
        <w:div w:id="1170213021">
          <w:marLeft w:val="0"/>
          <w:marRight w:val="0"/>
          <w:marTop w:val="0"/>
          <w:marBottom w:val="0"/>
          <w:divBdr>
            <w:top w:val="none" w:sz="0" w:space="0" w:color="auto"/>
            <w:left w:val="none" w:sz="0" w:space="0" w:color="auto"/>
            <w:bottom w:val="none" w:sz="0" w:space="0" w:color="auto"/>
            <w:right w:val="none" w:sz="0" w:space="0" w:color="auto"/>
          </w:divBdr>
        </w:div>
        <w:div w:id="106969357">
          <w:marLeft w:val="0"/>
          <w:marRight w:val="0"/>
          <w:marTop w:val="0"/>
          <w:marBottom w:val="0"/>
          <w:divBdr>
            <w:top w:val="none" w:sz="0" w:space="0" w:color="auto"/>
            <w:left w:val="none" w:sz="0" w:space="0" w:color="auto"/>
            <w:bottom w:val="none" w:sz="0" w:space="0" w:color="auto"/>
            <w:right w:val="none" w:sz="0" w:space="0" w:color="auto"/>
          </w:divBdr>
        </w:div>
        <w:div w:id="1260483347">
          <w:marLeft w:val="0"/>
          <w:marRight w:val="0"/>
          <w:marTop w:val="0"/>
          <w:marBottom w:val="0"/>
          <w:divBdr>
            <w:top w:val="none" w:sz="0" w:space="0" w:color="auto"/>
            <w:left w:val="none" w:sz="0" w:space="0" w:color="auto"/>
            <w:bottom w:val="none" w:sz="0" w:space="0" w:color="auto"/>
            <w:right w:val="none" w:sz="0" w:space="0" w:color="auto"/>
          </w:divBdr>
        </w:div>
        <w:div w:id="1119452892">
          <w:marLeft w:val="0"/>
          <w:marRight w:val="0"/>
          <w:marTop w:val="0"/>
          <w:marBottom w:val="0"/>
          <w:divBdr>
            <w:top w:val="none" w:sz="0" w:space="0" w:color="auto"/>
            <w:left w:val="none" w:sz="0" w:space="0" w:color="auto"/>
            <w:bottom w:val="none" w:sz="0" w:space="0" w:color="auto"/>
            <w:right w:val="none" w:sz="0" w:space="0" w:color="auto"/>
          </w:divBdr>
        </w:div>
        <w:div w:id="1764109661">
          <w:marLeft w:val="0"/>
          <w:marRight w:val="0"/>
          <w:marTop w:val="0"/>
          <w:marBottom w:val="0"/>
          <w:divBdr>
            <w:top w:val="none" w:sz="0" w:space="0" w:color="auto"/>
            <w:left w:val="none" w:sz="0" w:space="0" w:color="auto"/>
            <w:bottom w:val="none" w:sz="0" w:space="0" w:color="auto"/>
            <w:right w:val="none" w:sz="0" w:space="0" w:color="auto"/>
          </w:divBdr>
        </w:div>
        <w:div w:id="1491215040">
          <w:marLeft w:val="0"/>
          <w:marRight w:val="0"/>
          <w:marTop w:val="0"/>
          <w:marBottom w:val="0"/>
          <w:divBdr>
            <w:top w:val="none" w:sz="0" w:space="0" w:color="auto"/>
            <w:left w:val="none" w:sz="0" w:space="0" w:color="auto"/>
            <w:bottom w:val="none" w:sz="0" w:space="0" w:color="auto"/>
            <w:right w:val="none" w:sz="0" w:space="0" w:color="auto"/>
          </w:divBdr>
        </w:div>
        <w:div w:id="791675619">
          <w:marLeft w:val="0"/>
          <w:marRight w:val="0"/>
          <w:marTop w:val="0"/>
          <w:marBottom w:val="0"/>
          <w:divBdr>
            <w:top w:val="none" w:sz="0" w:space="0" w:color="auto"/>
            <w:left w:val="none" w:sz="0" w:space="0" w:color="auto"/>
            <w:bottom w:val="none" w:sz="0" w:space="0" w:color="auto"/>
            <w:right w:val="none" w:sz="0" w:space="0" w:color="auto"/>
          </w:divBdr>
        </w:div>
        <w:div w:id="1359744737">
          <w:marLeft w:val="0"/>
          <w:marRight w:val="0"/>
          <w:marTop w:val="0"/>
          <w:marBottom w:val="0"/>
          <w:divBdr>
            <w:top w:val="none" w:sz="0" w:space="0" w:color="auto"/>
            <w:left w:val="none" w:sz="0" w:space="0" w:color="auto"/>
            <w:bottom w:val="none" w:sz="0" w:space="0" w:color="auto"/>
            <w:right w:val="none" w:sz="0" w:space="0" w:color="auto"/>
          </w:divBdr>
        </w:div>
        <w:div w:id="1799951974">
          <w:marLeft w:val="0"/>
          <w:marRight w:val="0"/>
          <w:marTop w:val="0"/>
          <w:marBottom w:val="0"/>
          <w:divBdr>
            <w:top w:val="none" w:sz="0" w:space="0" w:color="auto"/>
            <w:left w:val="none" w:sz="0" w:space="0" w:color="auto"/>
            <w:bottom w:val="none" w:sz="0" w:space="0" w:color="auto"/>
            <w:right w:val="none" w:sz="0" w:space="0" w:color="auto"/>
          </w:divBdr>
        </w:div>
        <w:div w:id="1150369645">
          <w:marLeft w:val="0"/>
          <w:marRight w:val="0"/>
          <w:marTop w:val="0"/>
          <w:marBottom w:val="0"/>
          <w:divBdr>
            <w:top w:val="none" w:sz="0" w:space="0" w:color="auto"/>
            <w:left w:val="none" w:sz="0" w:space="0" w:color="auto"/>
            <w:bottom w:val="none" w:sz="0" w:space="0" w:color="auto"/>
            <w:right w:val="none" w:sz="0" w:space="0" w:color="auto"/>
          </w:divBdr>
        </w:div>
        <w:div w:id="1514959140">
          <w:marLeft w:val="0"/>
          <w:marRight w:val="0"/>
          <w:marTop w:val="0"/>
          <w:marBottom w:val="0"/>
          <w:divBdr>
            <w:top w:val="none" w:sz="0" w:space="0" w:color="auto"/>
            <w:left w:val="none" w:sz="0" w:space="0" w:color="auto"/>
            <w:bottom w:val="none" w:sz="0" w:space="0" w:color="auto"/>
            <w:right w:val="none" w:sz="0" w:space="0" w:color="auto"/>
          </w:divBdr>
        </w:div>
        <w:div w:id="746534176">
          <w:marLeft w:val="0"/>
          <w:marRight w:val="0"/>
          <w:marTop w:val="0"/>
          <w:marBottom w:val="0"/>
          <w:divBdr>
            <w:top w:val="none" w:sz="0" w:space="0" w:color="auto"/>
            <w:left w:val="none" w:sz="0" w:space="0" w:color="auto"/>
            <w:bottom w:val="none" w:sz="0" w:space="0" w:color="auto"/>
            <w:right w:val="none" w:sz="0" w:space="0" w:color="auto"/>
          </w:divBdr>
        </w:div>
        <w:div w:id="912619758">
          <w:marLeft w:val="0"/>
          <w:marRight w:val="0"/>
          <w:marTop w:val="0"/>
          <w:marBottom w:val="0"/>
          <w:divBdr>
            <w:top w:val="none" w:sz="0" w:space="0" w:color="auto"/>
            <w:left w:val="none" w:sz="0" w:space="0" w:color="auto"/>
            <w:bottom w:val="none" w:sz="0" w:space="0" w:color="auto"/>
            <w:right w:val="none" w:sz="0" w:space="0" w:color="auto"/>
          </w:divBdr>
        </w:div>
        <w:div w:id="1809737760">
          <w:marLeft w:val="0"/>
          <w:marRight w:val="0"/>
          <w:marTop w:val="0"/>
          <w:marBottom w:val="0"/>
          <w:divBdr>
            <w:top w:val="none" w:sz="0" w:space="0" w:color="auto"/>
            <w:left w:val="none" w:sz="0" w:space="0" w:color="auto"/>
            <w:bottom w:val="none" w:sz="0" w:space="0" w:color="auto"/>
            <w:right w:val="none" w:sz="0" w:space="0" w:color="auto"/>
          </w:divBdr>
        </w:div>
        <w:div w:id="841818404">
          <w:marLeft w:val="0"/>
          <w:marRight w:val="0"/>
          <w:marTop w:val="0"/>
          <w:marBottom w:val="0"/>
          <w:divBdr>
            <w:top w:val="none" w:sz="0" w:space="0" w:color="auto"/>
            <w:left w:val="none" w:sz="0" w:space="0" w:color="auto"/>
            <w:bottom w:val="none" w:sz="0" w:space="0" w:color="auto"/>
            <w:right w:val="none" w:sz="0" w:space="0" w:color="auto"/>
          </w:divBdr>
        </w:div>
        <w:div w:id="1959532913">
          <w:marLeft w:val="0"/>
          <w:marRight w:val="0"/>
          <w:marTop w:val="0"/>
          <w:marBottom w:val="0"/>
          <w:divBdr>
            <w:top w:val="none" w:sz="0" w:space="0" w:color="auto"/>
            <w:left w:val="none" w:sz="0" w:space="0" w:color="auto"/>
            <w:bottom w:val="none" w:sz="0" w:space="0" w:color="auto"/>
            <w:right w:val="none" w:sz="0" w:space="0" w:color="auto"/>
          </w:divBdr>
        </w:div>
        <w:div w:id="302275489">
          <w:marLeft w:val="0"/>
          <w:marRight w:val="0"/>
          <w:marTop w:val="0"/>
          <w:marBottom w:val="0"/>
          <w:divBdr>
            <w:top w:val="none" w:sz="0" w:space="0" w:color="auto"/>
            <w:left w:val="none" w:sz="0" w:space="0" w:color="auto"/>
            <w:bottom w:val="none" w:sz="0" w:space="0" w:color="auto"/>
            <w:right w:val="none" w:sz="0" w:space="0" w:color="auto"/>
          </w:divBdr>
        </w:div>
        <w:div w:id="1177692725">
          <w:marLeft w:val="0"/>
          <w:marRight w:val="0"/>
          <w:marTop w:val="0"/>
          <w:marBottom w:val="0"/>
          <w:divBdr>
            <w:top w:val="none" w:sz="0" w:space="0" w:color="auto"/>
            <w:left w:val="none" w:sz="0" w:space="0" w:color="auto"/>
            <w:bottom w:val="none" w:sz="0" w:space="0" w:color="auto"/>
            <w:right w:val="none" w:sz="0" w:space="0" w:color="auto"/>
          </w:divBdr>
        </w:div>
        <w:div w:id="1053308246">
          <w:marLeft w:val="0"/>
          <w:marRight w:val="0"/>
          <w:marTop w:val="0"/>
          <w:marBottom w:val="0"/>
          <w:divBdr>
            <w:top w:val="none" w:sz="0" w:space="0" w:color="auto"/>
            <w:left w:val="none" w:sz="0" w:space="0" w:color="auto"/>
            <w:bottom w:val="none" w:sz="0" w:space="0" w:color="auto"/>
            <w:right w:val="none" w:sz="0" w:space="0" w:color="auto"/>
          </w:divBdr>
        </w:div>
        <w:div w:id="724110378">
          <w:marLeft w:val="0"/>
          <w:marRight w:val="0"/>
          <w:marTop w:val="0"/>
          <w:marBottom w:val="0"/>
          <w:divBdr>
            <w:top w:val="none" w:sz="0" w:space="0" w:color="auto"/>
            <w:left w:val="none" w:sz="0" w:space="0" w:color="auto"/>
            <w:bottom w:val="none" w:sz="0" w:space="0" w:color="auto"/>
            <w:right w:val="none" w:sz="0" w:space="0" w:color="auto"/>
          </w:divBdr>
        </w:div>
        <w:div w:id="538662500">
          <w:marLeft w:val="0"/>
          <w:marRight w:val="0"/>
          <w:marTop w:val="0"/>
          <w:marBottom w:val="0"/>
          <w:divBdr>
            <w:top w:val="none" w:sz="0" w:space="0" w:color="auto"/>
            <w:left w:val="none" w:sz="0" w:space="0" w:color="auto"/>
            <w:bottom w:val="none" w:sz="0" w:space="0" w:color="auto"/>
            <w:right w:val="none" w:sz="0" w:space="0" w:color="auto"/>
          </w:divBdr>
        </w:div>
        <w:div w:id="1579821678">
          <w:marLeft w:val="0"/>
          <w:marRight w:val="0"/>
          <w:marTop w:val="0"/>
          <w:marBottom w:val="0"/>
          <w:divBdr>
            <w:top w:val="none" w:sz="0" w:space="0" w:color="auto"/>
            <w:left w:val="none" w:sz="0" w:space="0" w:color="auto"/>
            <w:bottom w:val="none" w:sz="0" w:space="0" w:color="auto"/>
            <w:right w:val="none" w:sz="0" w:space="0" w:color="auto"/>
          </w:divBdr>
        </w:div>
        <w:div w:id="1328746618">
          <w:marLeft w:val="0"/>
          <w:marRight w:val="0"/>
          <w:marTop w:val="0"/>
          <w:marBottom w:val="0"/>
          <w:divBdr>
            <w:top w:val="none" w:sz="0" w:space="0" w:color="auto"/>
            <w:left w:val="none" w:sz="0" w:space="0" w:color="auto"/>
            <w:bottom w:val="none" w:sz="0" w:space="0" w:color="auto"/>
            <w:right w:val="none" w:sz="0" w:space="0" w:color="auto"/>
          </w:divBdr>
        </w:div>
        <w:div w:id="841236037">
          <w:marLeft w:val="0"/>
          <w:marRight w:val="0"/>
          <w:marTop w:val="0"/>
          <w:marBottom w:val="0"/>
          <w:divBdr>
            <w:top w:val="none" w:sz="0" w:space="0" w:color="auto"/>
            <w:left w:val="none" w:sz="0" w:space="0" w:color="auto"/>
            <w:bottom w:val="none" w:sz="0" w:space="0" w:color="auto"/>
            <w:right w:val="none" w:sz="0" w:space="0" w:color="auto"/>
          </w:divBdr>
        </w:div>
        <w:div w:id="2108651360">
          <w:marLeft w:val="0"/>
          <w:marRight w:val="0"/>
          <w:marTop w:val="0"/>
          <w:marBottom w:val="0"/>
          <w:divBdr>
            <w:top w:val="none" w:sz="0" w:space="0" w:color="auto"/>
            <w:left w:val="none" w:sz="0" w:space="0" w:color="auto"/>
            <w:bottom w:val="none" w:sz="0" w:space="0" w:color="auto"/>
            <w:right w:val="none" w:sz="0" w:space="0" w:color="auto"/>
          </w:divBdr>
        </w:div>
        <w:div w:id="936595079">
          <w:marLeft w:val="0"/>
          <w:marRight w:val="0"/>
          <w:marTop w:val="0"/>
          <w:marBottom w:val="0"/>
          <w:divBdr>
            <w:top w:val="none" w:sz="0" w:space="0" w:color="auto"/>
            <w:left w:val="none" w:sz="0" w:space="0" w:color="auto"/>
            <w:bottom w:val="none" w:sz="0" w:space="0" w:color="auto"/>
            <w:right w:val="none" w:sz="0" w:space="0" w:color="auto"/>
          </w:divBdr>
        </w:div>
        <w:div w:id="856818766">
          <w:marLeft w:val="0"/>
          <w:marRight w:val="0"/>
          <w:marTop w:val="0"/>
          <w:marBottom w:val="0"/>
          <w:divBdr>
            <w:top w:val="none" w:sz="0" w:space="0" w:color="auto"/>
            <w:left w:val="none" w:sz="0" w:space="0" w:color="auto"/>
            <w:bottom w:val="none" w:sz="0" w:space="0" w:color="auto"/>
            <w:right w:val="none" w:sz="0" w:space="0" w:color="auto"/>
          </w:divBdr>
        </w:div>
        <w:div w:id="1039935964">
          <w:marLeft w:val="0"/>
          <w:marRight w:val="0"/>
          <w:marTop w:val="0"/>
          <w:marBottom w:val="0"/>
          <w:divBdr>
            <w:top w:val="none" w:sz="0" w:space="0" w:color="auto"/>
            <w:left w:val="none" w:sz="0" w:space="0" w:color="auto"/>
            <w:bottom w:val="none" w:sz="0" w:space="0" w:color="auto"/>
            <w:right w:val="none" w:sz="0" w:space="0" w:color="auto"/>
          </w:divBdr>
        </w:div>
        <w:div w:id="1741638137">
          <w:marLeft w:val="0"/>
          <w:marRight w:val="0"/>
          <w:marTop w:val="0"/>
          <w:marBottom w:val="0"/>
          <w:divBdr>
            <w:top w:val="none" w:sz="0" w:space="0" w:color="auto"/>
            <w:left w:val="none" w:sz="0" w:space="0" w:color="auto"/>
            <w:bottom w:val="none" w:sz="0" w:space="0" w:color="auto"/>
            <w:right w:val="none" w:sz="0" w:space="0" w:color="auto"/>
          </w:divBdr>
        </w:div>
        <w:div w:id="1620212158">
          <w:marLeft w:val="0"/>
          <w:marRight w:val="0"/>
          <w:marTop w:val="0"/>
          <w:marBottom w:val="0"/>
          <w:divBdr>
            <w:top w:val="none" w:sz="0" w:space="0" w:color="auto"/>
            <w:left w:val="none" w:sz="0" w:space="0" w:color="auto"/>
            <w:bottom w:val="none" w:sz="0" w:space="0" w:color="auto"/>
            <w:right w:val="none" w:sz="0" w:space="0" w:color="auto"/>
          </w:divBdr>
        </w:div>
        <w:div w:id="612132012">
          <w:marLeft w:val="0"/>
          <w:marRight w:val="0"/>
          <w:marTop w:val="0"/>
          <w:marBottom w:val="0"/>
          <w:divBdr>
            <w:top w:val="none" w:sz="0" w:space="0" w:color="auto"/>
            <w:left w:val="none" w:sz="0" w:space="0" w:color="auto"/>
            <w:bottom w:val="none" w:sz="0" w:space="0" w:color="auto"/>
            <w:right w:val="none" w:sz="0" w:space="0" w:color="auto"/>
          </w:divBdr>
        </w:div>
        <w:div w:id="874848647">
          <w:marLeft w:val="0"/>
          <w:marRight w:val="0"/>
          <w:marTop w:val="0"/>
          <w:marBottom w:val="0"/>
          <w:divBdr>
            <w:top w:val="none" w:sz="0" w:space="0" w:color="auto"/>
            <w:left w:val="none" w:sz="0" w:space="0" w:color="auto"/>
            <w:bottom w:val="none" w:sz="0" w:space="0" w:color="auto"/>
            <w:right w:val="none" w:sz="0" w:space="0" w:color="auto"/>
          </w:divBdr>
        </w:div>
        <w:div w:id="1172599840">
          <w:marLeft w:val="0"/>
          <w:marRight w:val="0"/>
          <w:marTop w:val="0"/>
          <w:marBottom w:val="0"/>
          <w:divBdr>
            <w:top w:val="none" w:sz="0" w:space="0" w:color="auto"/>
            <w:left w:val="none" w:sz="0" w:space="0" w:color="auto"/>
            <w:bottom w:val="none" w:sz="0" w:space="0" w:color="auto"/>
            <w:right w:val="none" w:sz="0" w:space="0" w:color="auto"/>
          </w:divBdr>
        </w:div>
        <w:div w:id="524173802">
          <w:marLeft w:val="0"/>
          <w:marRight w:val="0"/>
          <w:marTop w:val="0"/>
          <w:marBottom w:val="0"/>
          <w:divBdr>
            <w:top w:val="none" w:sz="0" w:space="0" w:color="auto"/>
            <w:left w:val="none" w:sz="0" w:space="0" w:color="auto"/>
            <w:bottom w:val="none" w:sz="0" w:space="0" w:color="auto"/>
            <w:right w:val="none" w:sz="0" w:space="0" w:color="auto"/>
          </w:divBdr>
        </w:div>
        <w:div w:id="1375688893">
          <w:marLeft w:val="0"/>
          <w:marRight w:val="0"/>
          <w:marTop w:val="0"/>
          <w:marBottom w:val="0"/>
          <w:divBdr>
            <w:top w:val="none" w:sz="0" w:space="0" w:color="auto"/>
            <w:left w:val="none" w:sz="0" w:space="0" w:color="auto"/>
            <w:bottom w:val="none" w:sz="0" w:space="0" w:color="auto"/>
            <w:right w:val="none" w:sz="0" w:space="0" w:color="auto"/>
          </w:divBdr>
        </w:div>
        <w:div w:id="1698971324">
          <w:marLeft w:val="0"/>
          <w:marRight w:val="0"/>
          <w:marTop w:val="0"/>
          <w:marBottom w:val="0"/>
          <w:divBdr>
            <w:top w:val="none" w:sz="0" w:space="0" w:color="auto"/>
            <w:left w:val="none" w:sz="0" w:space="0" w:color="auto"/>
            <w:bottom w:val="none" w:sz="0" w:space="0" w:color="auto"/>
            <w:right w:val="none" w:sz="0" w:space="0" w:color="auto"/>
          </w:divBdr>
        </w:div>
        <w:div w:id="1157914723">
          <w:marLeft w:val="0"/>
          <w:marRight w:val="0"/>
          <w:marTop w:val="0"/>
          <w:marBottom w:val="0"/>
          <w:divBdr>
            <w:top w:val="none" w:sz="0" w:space="0" w:color="auto"/>
            <w:left w:val="none" w:sz="0" w:space="0" w:color="auto"/>
            <w:bottom w:val="none" w:sz="0" w:space="0" w:color="auto"/>
            <w:right w:val="none" w:sz="0" w:space="0" w:color="auto"/>
          </w:divBdr>
        </w:div>
        <w:div w:id="1408308867">
          <w:marLeft w:val="0"/>
          <w:marRight w:val="0"/>
          <w:marTop w:val="0"/>
          <w:marBottom w:val="0"/>
          <w:divBdr>
            <w:top w:val="none" w:sz="0" w:space="0" w:color="auto"/>
            <w:left w:val="none" w:sz="0" w:space="0" w:color="auto"/>
            <w:bottom w:val="none" w:sz="0" w:space="0" w:color="auto"/>
            <w:right w:val="none" w:sz="0" w:space="0" w:color="auto"/>
          </w:divBdr>
        </w:div>
        <w:div w:id="499197706">
          <w:marLeft w:val="0"/>
          <w:marRight w:val="0"/>
          <w:marTop w:val="0"/>
          <w:marBottom w:val="0"/>
          <w:divBdr>
            <w:top w:val="none" w:sz="0" w:space="0" w:color="auto"/>
            <w:left w:val="none" w:sz="0" w:space="0" w:color="auto"/>
            <w:bottom w:val="none" w:sz="0" w:space="0" w:color="auto"/>
            <w:right w:val="none" w:sz="0" w:space="0" w:color="auto"/>
          </w:divBdr>
        </w:div>
        <w:div w:id="1133060446">
          <w:marLeft w:val="0"/>
          <w:marRight w:val="0"/>
          <w:marTop w:val="0"/>
          <w:marBottom w:val="0"/>
          <w:divBdr>
            <w:top w:val="none" w:sz="0" w:space="0" w:color="auto"/>
            <w:left w:val="none" w:sz="0" w:space="0" w:color="auto"/>
            <w:bottom w:val="none" w:sz="0" w:space="0" w:color="auto"/>
            <w:right w:val="none" w:sz="0" w:space="0" w:color="auto"/>
          </w:divBdr>
        </w:div>
        <w:div w:id="457189179">
          <w:marLeft w:val="0"/>
          <w:marRight w:val="0"/>
          <w:marTop w:val="0"/>
          <w:marBottom w:val="0"/>
          <w:divBdr>
            <w:top w:val="none" w:sz="0" w:space="0" w:color="auto"/>
            <w:left w:val="none" w:sz="0" w:space="0" w:color="auto"/>
            <w:bottom w:val="none" w:sz="0" w:space="0" w:color="auto"/>
            <w:right w:val="none" w:sz="0" w:space="0" w:color="auto"/>
          </w:divBdr>
        </w:div>
        <w:div w:id="388265798">
          <w:marLeft w:val="0"/>
          <w:marRight w:val="0"/>
          <w:marTop w:val="0"/>
          <w:marBottom w:val="0"/>
          <w:divBdr>
            <w:top w:val="none" w:sz="0" w:space="0" w:color="auto"/>
            <w:left w:val="none" w:sz="0" w:space="0" w:color="auto"/>
            <w:bottom w:val="none" w:sz="0" w:space="0" w:color="auto"/>
            <w:right w:val="none" w:sz="0" w:space="0" w:color="auto"/>
          </w:divBdr>
        </w:div>
        <w:div w:id="1553692490">
          <w:marLeft w:val="0"/>
          <w:marRight w:val="0"/>
          <w:marTop w:val="0"/>
          <w:marBottom w:val="0"/>
          <w:divBdr>
            <w:top w:val="none" w:sz="0" w:space="0" w:color="auto"/>
            <w:left w:val="none" w:sz="0" w:space="0" w:color="auto"/>
            <w:bottom w:val="none" w:sz="0" w:space="0" w:color="auto"/>
            <w:right w:val="none" w:sz="0" w:space="0" w:color="auto"/>
          </w:divBdr>
        </w:div>
        <w:div w:id="250968801">
          <w:marLeft w:val="0"/>
          <w:marRight w:val="0"/>
          <w:marTop w:val="0"/>
          <w:marBottom w:val="0"/>
          <w:divBdr>
            <w:top w:val="none" w:sz="0" w:space="0" w:color="auto"/>
            <w:left w:val="none" w:sz="0" w:space="0" w:color="auto"/>
            <w:bottom w:val="none" w:sz="0" w:space="0" w:color="auto"/>
            <w:right w:val="none" w:sz="0" w:space="0" w:color="auto"/>
          </w:divBdr>
        </w:div>
        <w:div w:id="921110020">
          <w:marLeft w:val="0"/>
          <w:marRight w:val="0"/>
          <w:marTop w:val="0"/>
          <w:marBottom w:val="0"/>
          <w:divBdr>
            <w:top w:val="none" w:sz="0" w:space="0" w:color="auto"/>
            <w:left w:val="none" w:sz="0" w:space="0" w:color="auto"/>
            <w:bottom w:val="none" w:sz="0" w:space="0" w:color="auto"/>
            <w:right w:val="none" w:sz="0" w:space="0" w:color="auto"/>
          </w:divBdr>
        </w:div>
        <w:div w:id="1447651148">
          <w:marLeft w:val="0"/>
          <w:marRight w:val="0"/>
          <w:marTop w:val="0"/>
          <w:marBottom w:val="0"/>
          <w:divBdr>
            <w:top w:val="none" w:sz="0" w:space="0" w:color="auto"/>
            <w:left w:val="none" w:sz="0" w:space="0" w:color="auto"/>
            <w:bottom w:val="none" w:sz="0" w:space="0" w:color="auto"/>
            <w:right w:val="none" w:sz="0" w:space="0" w:color="auto"/>
          </w:divBdr>
        </w:div>
        <w:div w:id="1974557640">
          <w:marLeft w:val="0"/>
          <w:marRight w:val="0"/>
          <w:marTop w:val="0"/>
          <w:marBottom w:val="0"/>
          <w:divBdr>
            <w:top w:val="none" w:sz="0" w:space="0" w:color="auto"/>
            <w:left w:val="none" w:sz="0" w:space="0" w:color="auto"/>
            <w:bottom w:val="none" w:sz="0" w:space="0" w:color="auto"/>
            <w:right w:val="none" w:sz="0" w:space="0" w:color="auto"/>
          </w:divBdr>
        </w:div>
        <w:div w:id="478377084">
          <w:marLeft w:val="0"/>
          <w:marRight w:val="0"/>
          <w:marTop w:val="0"/>
          <w:marBottom w:val="0"/>
          <w:divBdr>
            <w:top w:val="none" w:sz="0" w:space="0" w:color="auto"/>
            <w:left w:val="none" w:sz="0" w:space="0" w:color="auto"/>
            <w:bottom w:val="none" w:sz="0" w:space="0" w:color="auto"/>
            <w:right w:val="none" w:sz="0" w:space="0" w:color="auto"/>
          </w:divBdr>
        </w:div>
        <w:div w:id="1416366088">
          <w:marLeft w:val="0"/>
          <w:marRight w:val="0"/>
          <w:marTop w:val="0"/>
          <w:marBottom w:val="0"/>
          <w:divBdr>
            <w:top w:val="none" w:sz="0" w:space="0" w:color="auto"/>
            <w:left w:val="none" w:sz="0" w:space="0" w:color="auto"/>
            <w:bottom w:val="none" w:sz="0" w:space="0" w:color="auto"/>
            <w:right w:val="none" w:sz="0" w:space="0" w:color="auto"/>
          </w:divBdr>
        </w:div>
        <w:div w:id="910043251">
          <w:marLeft w:val="0"/>
          <w:marRight w:val="0"/>
          <w:marTop w:val="0"/>
          <w:marBottom w:val="0"/>
          <w:divBdr>
            <w:top w:val="none" w:sz="0" w:space="0" w:color="auto"/>
            <w:left w:val="none" w:sz="0" w:space="0" w:color="auto"/>
            <w:bottom w:val="none" w:sz="0" w:space="0" w:color="auto"/>
            <w:right w:val="none" w:sz="0" w:space="0" w:color="auto"/>
          </w:divBdr>
        </w:div>
        <w:div w:id="1160537461">
          <w:marLeft w:val="0"/>
          <w:marRight w:val="0"/>
          <w:marTop w:val="0"/>
          <w:marBottom w:val="0"/>
          <w:divBdr>
            <w:top w:val="none" w:sz="0" w:space="0" w:color="auto"/>
            <w:left w:val="none" w:sz="0" w:space="0" w:color="auto"/>
            <w:bottom w:val="none" w:sz="0" w:space="0" w:color="auto"/>
            <w:right w:val="none" w:sz="0" w:space="0" w:color="auto"/>
          </w:divBdr>
        </w:div>
        <w:div w:id="1786267907">
          <w:marLeft w:val="0"/>
          <w:marRight w:val="0"/>
          <w:marTop w:val="0"/>
          <w:marBottom w:val="0"/>
          <w:divBdr>
            <w:top w:val="none" w:sz="0" w:space="0" w:color="auto"/>
            <w:left w:val="none" w:sz="0" w:space="0" w:color="auto"/>
            <w:bottom w:val="none" w:sz="0" w:space="0" w:color="auto"/>
            <w:right w:val="none" w:sz="0" w:space="0" w:color="auto"/>
          </w:divBdr>
        </w:div>
        <w:div w:id="628779029">
          <w:marLeft w:val="0"/>
          <w:marRight w:val="0"/>
          <w:marTop w:val="0"/>
          <w:marBottom w:val="0"/>
          <w:divBdr>
            <w:top w:val="none" w:sz="0" w:space="0" w:color="auto"/>
            <w:left w:val="none" w:sz="0" w:space="0" w:color="auto"/>
            <w:bottom w:val="none" w:sz="0" w:space="0" w:color="auto"/>
            <w:right w:val="none" w:sz="0" w:space="0" w:color="auto"/>
          </w:divBdr>
        </w:div>
        <w:div w:id="486021756">
          <w:marLeft w:val="0"/>
          <w:marRight w:val="0"/>
          <w:marTop w:val="0"/>
          <w:marBottom w:val="0"/>
          <w:divBdr>
            <w:top w:val="none" w:sz="0" w:space="0" w:color="auto"/>
            <w:left w:val="none" w:sz="0" w:space="0" w:color="auto"/>
            <w:bottom w:val="none" w:sz="0" w:space="0" w:color="auto"/>
            <w:right w:val="none" w:sz="0" w:space="0" w:color="auto"/>
          </w:divBdr>
        </w:div>
        <w:div w:id="126968957">
          <w:marLeft w:val="0"/>
          <w:marRight w:val="0"/>
          <w:marTop w:val="0"/>
          <w:marBottom w:val="0"/>
          <w:divBdr>
            <w:top w:val="none" w:sz="0" w:space="0" w:color="auto"/>
            <w:left w:val="none" w:sz="0" w:space="0" w:color="auto"/>
            <w:bottom w:val="none" w:sz="0" w:space="0" w:color="auto"/>
            <w:right w:val="none" w:sz="0" w:space="0" w:color="auto"/>
          </w:divBdr>
        </w:div>
        <w:div w:id="1052653929">
          <w:marLeft w:val="0"/>
          <w:marRight w:val="0"/>
          <w:marTop w:val="0"/>
          <w:marBottom w:val="0"/>
          <w:divBdr>
            <w:top w:val="none" w:sz="0" w:space="0" w:color="auto"/>
            <w:left w:val="none" w:sz="0" w:space="0" w:color="auto"/>
            <w:bottom w:val="none" w:sz="0" w:space="0" w:color="auto"/>
            <w:right w:val="none" w:sz="0" w:space="0" w:color="auto"/>
          </w:divBdr>
        </w:div>
        <w:div w:id="18238178">
          <w:marLeft w:val="0"/>
          <w:marRight w:val="0"/>
          <w:marTop w:val="0"/>
          <w:marBottom w:val="0"/>
          <w:divBdr>
            <w:top w:val="none" w:sz="0" w:space="0" w:color="auto"/>
            <w:left w:val="none" w:sz="0" w:space="0" w:color="auto"/>
            <w:bottom w:val="none" w:sz="0" w:space="0" w:color="auto"/>
            <w:right w:val="none" w:sz="0" w:space="0" w:color="auto"/>
          </w:divBdr>
        </w:div>
        <w:div w:id="1311011366">
          <w:marLeft w:val="0"/>
          <w:marRight w:val="0"/>
          <w:marTop w:val="0"/>
          <w:marBottom w:val="0"/>
          <w:divBdr>
            <w:top w:val="none" w:sz="0" w:space="0" w:color="auto"/>
            <w:left w:val="none" w:sz="0" w:space="0" w:color="auto"/>
            <w:bottom w:val="none" w:sz="0" w:space="0" w:color="auto"/>
            <w:right w:val="none" w:sz="0" w:space="0" w:color="auto"/>
          </w:divBdr>
        </w:div>
        <w:div w:id="960459625">
          <w:marLeft w:val="0"/>
          <w:marRight w:val="0"/>
          <w:marTop w:val="0"/>
          <w:marBottom w:val="0"/>
          <w:divBdr>
            <w:top w:val="none" w:sz="0" w:space="0" w:color="auto"/>
            <w:left w:val="none" w:sz="0" w:space="0" w:color="auto"/>
            <w:bottom w:val="none" w:sz="0" w:space="0" w:color="auto"/>
            <w:right w:val="none" w:sz="0" w:space="0" w:color="auto"/>
          </w:divBdr>
        </w:div>
        <w:div w:id="849684856">
          <w:marLeft w:val="0"/>
          <w:marRight w:val="0"/>
          <w:marTop w:val="0"/>
          <w:marBottom w:val="0"/>
          <w:divBdr>
            <w:top w:val="none" w:sz="0" w:space="0" w:color="auto"/>
            <w:left w:val="none" w:sz="0" w:space="0" w:color="auto"/>
            <w:bottom w:val="none" w:sz="0" w:space="0" w:color="auto"/>
            <w:right w:val="none" w:sz="0" w:space="0" w:color="auto"/>
          </w:divBdr>
        </w:div>
        <w:div w:id="1908296372">
          <w:marLeft w:val="0"/>
          <w:marRight w:val="0"/>
          <w:marTop w:val="0"/>
          <w:marBottom w:val="0"/>
          <w:divBdr>
            <w:top w:val="none" w:sz="0" w:space="0" w:color="auto"/>
            <w:left w:val="none" w:sz="0" w:space="0" w:color="auto"/>
            <w:bottom w:val="none" w:sz="0" w:space="0" w:color="auto"/>
            <w:right w:val="none" w:sz="0" w:space="0" w:color="auto"/>
          </w:divBdr>
        </w:div>
        <w:div w:id="8916675">
          <w:marLeft w:val="0"/>
          <w:marRight w:val="0"/>
          <w:marTop w:val="0"/>
          <w:marBottom w:val="0"/>
          <w:divBdr>
            <w:top w:val="none" w:sz="0" w:space="0" w:color="auto"/>
            <w:left w:val="none" w:sz="0" w:space="0" w:color="auto"/>
            <w:bottom w:val="none" w:sz="0" w:space="0" w:color="auto"/>
            <w:right w:val="none" w:sz="0" w:space="0" w:color="auto"/>
          </w:divBdr>
        </w:div>
        <w:div w:id="1321811416">
          <w:marLeft w:val="0"/>
          <w:marRight w:val="0"/>
          <w:marTop w:val="0"/>
          <w:marBottom w:val="0"/>
          <w:divBdr>
            <w:top w:val="none" w:sz="0" w:space="0" w:color="auto"/>
            <w:left w:val="none" w:sz="0" w:space="0" w:color="auto"/>
            <w:bottom w:val="none" w:sz="0" w:space="0" w:color="auto"/>
            <w:right w:val="none" w:sz="0" w:space="0" w:color="auto"/>
          </w:divBdr>
        </w:div>
        <w:div w:id="437523619">
          <w:marLeft w:val="0"/>
          <w:marRight w:val="0"/>
          <w:marTop w:val="0"/>
          <w:marBottom w:val="0"/>
          <w:divBdr>
            <w:top w:val="none" w:sz="0" w:space="0" w:color="auto"/>
            <w:left w:val="none" w:sz="0" w:space="0" w:color="auto"/>
            <w:bottom w:val="none" w:sz="0" w:space="0" w:color="auto"/>
            <w:right w:val="none" w:sz="0" w:space="0" w:color="auto"/>
          </w:divBdr>
        </w:div>
        <w:div w:id="1272667133">
          <w:marLeft w:val="0"/>
          <w:marRight w:val="0"/>
          <w:marTop w:val="0"/>
          <w:marBottom w:val="0"/>
          <w:divBdr>
            <w:top w:val="none" w:sz="0" w:space="0" w:color="auto"/>
            <w:left w:val="none" w:sz="0" w:space="0" w:color="auto"/>
            <w:bottom w:val="none" w:sz="0" w:space="0" w:color="auto"/>
            <w:right w:val="none" w:sz="0" w:space="0" w:color="auto"/>
          </w:divBdr>
        </w:div>
        <w:div w:id="522012232">
          <w:marLeft w:val="0"/>
          <w:marRight w:val="0"/>
          <w:marTop w:val="0"/>
          <w:marBottom w:val="0"/>
          <w:divBdr>
            <w:top w:val="none" w:sz="0" w:space="0" w:color="auto"/>
            <w:left w:val="none" w:sz="0" w:space="0" w:color="auto"/>
            <w:bottom w:val="none" w:sz="0" w:space="0" w:color="auto"/>
            <w:right w:val="none" w:sz="0" w:space="0" w:color="auto"/>
          </w:divBdr>
        </w:div>
        <w:div w:id="1116096759">
          <w:marLeft w:val="0"/>
          <w:marRight w:val="0"/>
          <w:marTop w:val="0"/>
          <w:marBottom w:val="0"/>
          <w:divBdr>
            <w:top w:val="none" w:sz="0" w:space="0" w:color="auto"/>
            <w:left w:val="none" w:sz="0" w:space="0" w:color="auto"/>
            <w:bottom w:val="none" w:sz="0" w:space="0" w:color="auto"/>
            <w:right w:val="none" w:sz="0" w:space="0" w:color="auto"/>
          </w:divBdr>
        </w:div>
        <w:div w:id="1225213842">
          <w:marLeft w:val="0"/>
          <w:marRight w:val="0"/>
          <w:marTop w:val="0"/>
          <w:marBottom w:val="0"/>
          <w:divBdr>
            <w:top w:val="none" w:sz="0" w:space="0" w:color="auto"/>
            <w:left w:val="none" w:sz="0" w:space="0" w:color="auto"/>
            <w:bottom w:val="none" w:sz="0" w:space="0" w:color="auto"/>
            <w:right w:val="none" w:sz="0" w:space="0" w:color="auto"/>
          </w:divBdr>
        </w:div>
        <w:div w:id="1081220618">
          <w:marLeft w:val="0"/>
          <w:marRight w:val="0"/>
          <w:marTop w:val="0"/>
          <w:marBottom w:val="0"/>
          <w:divBdr>
            <w:top w:val="none" w:sz="0" w:space="0" w:color="auto"/>
            <w:left w:val="none" w:sz="0" w:space="0" w:color="auto"/>
            <w:bottom w:val="none" w:sz="0" w:space="0" w:color="auto"/>
            <w:right w:val="none" w:sz="0" w:space="0" w:color="auto"/>
          </w:divBdr>
        </w:div>
        <w:div w:id="79303868">
          <w:marLeft w:val="0"/>
          <w:marRight w:val="0"/>
          <w:marTop w:val="0"/>
          <w:marBottom w:val="0"/>
          <w:divBdr>
            <w:top w:val="none" w:sz="0" w:space="0" w:color="auto"/>
            <w:left w:val="none" w:sz="0" w:space="0" w:color="auto"/>
            <w:bottom w:val="none" w:sz="0" w:space="0" w:color="auto"/>
            <w:right w:val="none" w:sz="0" w:space="0" w:color="auto"/>
          </w:divBdr>
        </w:div>
        <w:div w:id="105394705">
          <w:marLeft w:val="0"/>
          <w:marRight w:val="0"/>
          <w:marTop w:val="0"/>
          <w:marBottom w:val="0"/>
          <w:divBdr>
            <w:top w:val="none" w:sz="0" w:space="0" w:color="auto"/>
            <w:left w:val="none" w:sz="0" w:space="0" w:color="auto"/>
            <w:bottom w:val="none" w:sz="0" w:space="0" w:color="auto"/>
            <w:right w:val="none" w:sz="0" w:space="0" w:color="auto"/>
          </w:divBdr>
        </w:div>
        <w:div w:id="1340431122">
          <w:marLeft w:val="0"/>
          <w:marRight w:val="0"/>
          <w:marTop w:val="0"/>
          <w:marBottom w:val="0"/>
          <w:divBdr>
            <w:top w:val="none" w:sz="0" w:space="0" w:color="auto"/>
            <w:left w:val="none" w:sz="0" w:space="0" w:color="auto"/>
            <w:bottom w:val="none" w:sz="0" w:space="0" w:color="auto"/>
            <w:right w:val="none" w:sz="0" w:space="0" w:color="auto"/>
          </w:divBdr>
        </w:div>
        <w:div w:id="1785347768">
          <w:marLeft w:val="0"/>
          <w:marRight w:val="0"/>
          <w:marTop w:val="0"/>
          <w:marBottom w:val="0"/>
          <w:divBdr>
            <w:top w:val="none" w:sz="0" w:space="0" w:color="auto"/>
            <w:left w:val="none" w:sz="0" w:space="0" w:color="auto"/>
            <w:bottom w:val="none" w:sz="0" w:space="0" w:color="auto"/>
            <w:right w:val="none" w:sz="0" w:space="0" w:color="auto"/>
          </w:divBdr>
        </w:div>
        <w:div w:id="934241701">
          <w:marLeft w:val="0"/>
          <w:marRight w:val="0"/>
          <w:marTop w:val="0"/>
          <w:marBottom w:val="0"/>
          <w:divBdr>
            <w:top w:val="none" w:sz="0" w:space="0" w:color="auto"/>
            <w:left w:val="none" w:sz="0" w:space="0" w:color="auto"/>
            <w:bottom w:val="none" w:sz="0" w:space="0" w:color="auto"/>
            <w:right w:val="none" w:sz="0" w:space="0" w:color="auto"/>
          </w:divBdr>
        </w:div>
        <w:div w:id="603608438">
          <w:marLeft w:val="0"/>
          <w:marRight w:val="0"/>
          <w:marTop w:val="0"/>
          <w:marBottom w:val="0"/>
          <w:divBdr>
            <w:top w:val="none" w:sz="0" w:space="0" w:color="auto"/>
            <w:left w:val="none" w:sz="0" w:space="0" w:color="auto"/>
            <w:bottom w:val="none" w:sz="0" w:space="0" w:color="auto"/>
            <w:right w:val="none" w:sz="0" w:space="0" w:color="auto"/>
          </w:divBdr>
        </w:div>
      </w:divsChild>
    </w:div>
    <w:div w:id="1101071456">
      <w:bodyDiv w:val="1"/>
      <w:marLeft w:val="0"/>
      <w:marRight w:val="0"/>
      <w:marTop w:val="0"/>
      <w:marBottom w:val="0"/>
      <w:divBdr>
        <w:top w:val="none" w:sz="0" w:space="0" w:color="auto"/>
        <w:left w:val="none" w:sz="0" w:space="0" w:color="auto"/>
        <w:bottom w:val="none" w:sz="0" w:space="0" w:color="auto"/>
        <w:right w:val="none" w:sz="0" w:space="0" w:color="auto"/>
      </w:divBdr>
    </w:div>
    <w:div w:id="1202478498">
      <w:bodyDiv w:val="1"/>
      <w:marLeft w:val="0"/>
      <w:marRight w:val="0"/>
      <w:marTop w:val="0"/>
      <w:marBottom w:val="0"/>
      <w:divBdr>
        <w:top w:val="none" w:sz="0" w:space="0" w:color="auto"/>
        <w:left w:val="none" w:sz="0" w:space="0" w:color="auto"/>
        <w:bottom w:val="none" w:sz="0" w:space="0" w:color="auto"/>
        <w:right w:val="none" w:sz="0" w:space="0" w:color="auto"/>
      </w:divBdr>
      <w:divsChild>
        <w:div w:id="1011763290">
          <w:marLeft w:val="0"/>
          <w:marRight w:val="0"/>
          <w:marTop w:val="0"/>
          <w:marBottom w:val="0"/>
          <w:divBdr>
            <w:top w:val="none" w:sz="0" w:space="0" w:color="auto"/>
            <w:left w:val="none" w:sz="0" w:space="0" w:color="auto"/>
            <w:bottom w:val="none" w:sz="0" w:space="0" w:color="auto"/>
            <w:right w:val="none" w:sz="0" w:space="0" w:color="auto"/>
          </w:divBdr>
          <w:divsChild>
            <w:div w:id="1103109128">
              <w:marLeft w:val="0"/>
              <w:marRight w:val="0"/>
              <w:marTop w:val="0"/>
              <w:marBottom w:val="0"/>
              <w:divBdr>
                <w:top w:val="none" w:sz="0" w:space="0" w:color="auto"/>
                <w:left w:val="none" w:sz="0" w:space="0" w:color="auto"/>
                <w:bottom w:val="none" w:sz="0" w:space="0" w:color="auto"/>
                <w:right w:val="none" w:sz="0" w:space="0" w:color="auto"/>
              </w:divBdr>
            </w:div>
            <w:div w:id="2067795816">
              <w:marLeft w:val="0"/>
              <w:marRight w:val="0"/>
              <w:marTop w:val="0"/>
              <w:marBottom w:val="0"/>
              <w:divBdr>
                <w:top w:val="none" w:sz="0" w:space="0" w:color="auto"/>
                <w:left w:val="none" w:sz="0" w:space="0" w:color="auto"/>
                <w:bottom w:val="none" w:sz="0" w:space="0" w:color="auto"/>
                <w:right w:val="none" w:sz="0" w:space="0" w:color="auto"/>
              </w:divBdr>
            </w:div>
            <w:div w:id="269165189">
              <w:marLeft w:val="0"/>
              <w:marRight w:val="0"/>
              <w:marTop w:val="0"/>
              <w:marBottom w:val="0"/>
              <w:divBdr>
                <w:top w:val="none" w:sz="0" w:space="0" w:color="auto"/>
                <w:left w:val="none" w:sz="0" w:space="0" w:color="auto"/>
                <w:bottom w:val="none" w:sz="0" w:space="0" w:color="auto"/>
                <w:right w:val="none" w:sz="0" w:space="0" w:color="auto"/>
              </w:divBdr>
            </w:div>
            <w:div w:id="1486242091">
              <w:marLeft w:val="0"/>
              <w:marRight w:val="0"/>
              <w:marTop w:val="0"/>
              <w:marBottom w:val="0"/>
              <w:divBdr>
                <w:top w:val="none" w:sz="0" w:space="0" w:color="auto"/>
                <w:left w:val="none" w:sz="0" w:space="0" w:color="auto"/>
                <w:bottom w:val="none" w:sz="0" w:space="0" w:color="auto"/>
                <w:right w:val="none" w:sz="0" w:space="0" w:color="auto"/>
              </w:divBdr>
            </w:div>
            <w:div w:id="562254001">
              <w:marLeft w:val="0"/>
              <w:marRight w:val="0"/>
              <w:marTop w:val="0"/>
              <w:marBottom w:val="0"/>
              <w:divBdr>
                <w:top w:val="none" w:sz="0" w:space="0" w:color="auto"/>
                <w:left w:val="none" w:sz="0" w:space="0" w:color="auto"/>
                <w:bottom w:val="none" w:sz="0" w:space="0" w:color="auto"/>
                <w:right w:val="none" w:sz="0" w:space="0" w:color="auto"/>
              </w:divBdr>
            </w:div>
            <w:div w:id="622006956">
              <w:marLeft w:val="0"/>
              <w:marRight w:val="0"/>
              <w:marTop w:val="0"/>
              <w:marBottom w:val="0"/>
              <w:divBdr>
                <w:top w:val="none" w:sz="0" w:space="0" w:color="auto"/>
                <w:left w:val="none" w:sz="0" w:space="0" w:color="auto"/>
                <w:bottom w:val="none" w:sz="0" w:space="0" w:color="auto"/>
                <w:right w:val="none" w:sz="0" w:space="0" w:color="auto"/>
              </w:divBdr>
            </w:div>
            <w:div w:id="155261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4308">
      <w:bodyDiv w:val="1"/>
      <w:marLeft w:val="0"/>
      <w:marRight w:val="0"/>
      <w:marTop w:val="0"/>
      <w:marBottom w:val="0"/>
      <w:divBdr>
        <w:top w:val="none" w:sz="0" w:space="0" w:color="auto"/>
        <w:left w:val="none" w:sz="0" w:space="0" w:color="auto"/>
        <w:bottom w:val="none" w:sz="0" w:space="0" w:color="auto"/>
        <w:right w:val="none" w:sz="0" w:space="0" w:color="auto"/>
      </w:divBdr>
      <w:divsChild>
        <w:div w:id="192882932">
          <w:marLeft w:val="0"/>
          <w:marRight w:val="0"/>
          <w:marTop w:val="0"/>
          <w:marBottom w:val="0"/>
          <w:divBdr>
            <w:top w:val="none" w:sz="0" w:space="0" w:color="auto"/>
            <w:left w:val="none" w:sz="0" w:space="0" w:color="auto"/>
            <w:bottom w:val="none" w:sz="0" w:space="0" w:color="auto"/>
            <w:right w:val="none" w:sz="0" w:space="0" w:color="auto"/>
          </w:divBdr>
        </w:div>
        <w:div w:id="906918826">
          <w:marLeft w:val="0"/>
          <w:marRight w:val="0"/>
          <w:marTop w:val="0"/>
          <w:marBottom w:val="0"/>
          <w:divBdr>
            <w:top w:val="none" w:sz="0" w:space="0" w:color="auto"/>
            <w:left w:val="none" w:sz="0" w:space="0" w:color="auto"/>
            <w:bottom w:val="none" w:sz="0" w:space="0" w:color="auto"/>
            <w:right w:val="none" w:sz="0" w:space="0" w:color="auto"/>
          </w:divBdr>
        </w:div>
      </w:divsChild>
    </w:div>
    <w:div w:id="1449007962">
      <w:bodyDiv w:val="1"/>
      <w:marLeft w:val="0"/>
      <w:marRight w:val="0"/>
      <w:marTop w:val="0"/>
      <w:marBottom w:val="0"/>
      <w:divBdr>
        <w:top w:val="none" w:sz="0" w:space="0" w:color="auto"/>
        <w:left w:val="none" w:sz="0" w:space="0" w:color="auto"/>
        <w:bottom w:val="none" w:sz="0" w:space="0" w:color="auto"/>
        <w:right w:val="none" w:sz="0" w:space="0" w:color="auto"/>
      </w:divBdr>
      <w:divsChild>
        <w:div w:id="418060195">
          <w:marLeft w:val="0"/>
          <w:marRight w:val="0"/>
          <w:marTop w:val="0"/>
          <w:marBottom w:val="0"/>
          <w:divBdr>
            <w:top w:val="none" w:sz="0" w:space="0" w:color="auto"/>
            <w:left w:val="none" w:sz="0" w:space="0" w:color="auto"/>
            <w:bottom w:val="none" w:sz="0" w:space="0" w:color="auto"/>
            <w:right w:val="none" w:sz="0" w:space="0" w:color="auto"/>
          </w:divBdr>
          <w:divsChild>
            <w:div w:id="1847591330">
              <w:marLeft w:val="0"/>
              <w:marRight w:val="0"/>
              <w:marTop w:val="0"/>
              <w:marBottom w:val="0"/>
              <w:divBdr>
                <w:top w:val="none" w:sz="0" w:space="0" w:color="auto"/>
                <w:left w:val="none" w:sz="0" w:space="0" w:color="auto"/>
                <w:bottom w:val="none" w:sz="0" w:space="0" w:color="auto"/>
                <w:right w:val="none" w:sz="0" w:space="0" w:color="auto"/>
              </w:divBdr>
            </w:div>
            <w:div w:id="764958732">
              <w:marLeft w:val="0"/>
              <w:marRight w:val="0"/>
              <w:marTop w:val="0"/>
              <w:marBottom w:val="0"/>
              <w:divBdr>
                <w:top w:val="none" w:sz="0" w:space="0" w:color="auto"/>
                <w:left w:val="none" w:sz="0" w:space="0" w:color="auto"/>
                <w:bottom w:val="none" w:sz="0" w:space="0" w:color="auto"/>
                <w:right w:val="none" w:sz="0" w:space="0" w:color="auto"/>
              </w:divBdr>
            </w:div>
            <w:div w:id="1409840125">
              <w:marLeft w:val="0"/>
              <w:marRight w:val="0"/>
              <w:marTop w:val="0"/>
              <w:marBottom w:val="0"/>
              <w:divBdr>
                <w:top w:val="none" w:sz="0" w:space="0" w:color="auto"/>
                <w:left w:val="none" w:sz="0" w:space="0" w:color="auto"/>
                <w:bottom w:val="none" w:sz="0" w:space="0" w:color="auto"/>
                <w:right w:val="none" w:sz="0" w:space="0" w:color="auto"/>
              </w:divBdr>
            </w:div>
            <w:div w:id="1576013160">
              <w:marLeft w:val="0"/>
              <w:marRight w:val="0"/>
              <w:marTop w:val="0"/>
              <w:marBottom w:val="0"/>
              <w:divBdr>
                <w:top w:val="none" w:sz="0" w:space="0" w:color="auto"/>
                <w:left w:val="none" w:sz="0" w:space="0" w:color="auto"/>
                <w:bottom w:val="none" w:sz="0" w:space="0" w:color="auto"/>
                <w:right w:val="none" w:sz="0" w:space="0" w:color="auto"/>
              </w:divBdr>
            </w:div>
            <w:div w:id="1663310798">
              <w:marLeft w:val="0"/>
              <w:marRight w:val="0"/>
              <w:marTop w:val="0"/>
              <w:marBottom w:val="0"/>
              <w:divBdr>
                <w:top w:val="none" w:sz="0" w:space="0" w:color="auto"/>
                <w:left w:val="none" w:sz="0" w:space="0" w:color="auto"/>
                <w:bottom w:val="none" w:sz="0" w:space="0" w:color="auto"/>
                <w:right w:val="none" w:sz="0" w:space="0" w:color="auto"/>
              </w:divBdr>
            </w:div>
            <w:div w:id="719472717">
              <w:marLeft w:val="0"/>
              <w:marRight w:val="0"/>
              <w:marTop w:val="0"/>
              <w:marBottom w:val="0"/>
              <w:divBdr>
                <w:top w:val="none" w:sz="0" w:space="0" w:color="auto"/>
                <w:left w:val="none" w:sz="0" w:space="0" w:color="auto"/>
                <w:bottom w:val="none" w:sz="0" w:space="0" w:color="auto"/>
                <w:right w:val="none" w:sz="0" w:space="0" w:color="auto"/>
              </w:divBdr>
            </w:div>
            <w:div w:id="114184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59064">
      <w:bodyDiv w:val="1"/>
      <w:marLeft w:val="0"/>
      <w:marRight w:val="0"/>
      <w:marTop w:val="0"/>
      <w:marBottom w:val="0"/>
      <w:divBdr>
        <w:top w:val="none" w:sz="0" w:space="0" w:color="auto"/>
        <w:left w:val="none" w:sz="0" w:space="0" w:color="auto"/>
        <w:bottom w:val="none" w:sz="0" w:space="0" w:color="auto"/>
        <w:right w:val="none" w:sz="0" w:space="0" w:color="auto"/>
      </w:divBdr>
      <w:divsChild>
        <w:div w:id="1297643966">
          <w:marLeft w:val="0"/>
          <w:marRight w:val="0"/>
          <w:marTop w:val="0"/>
          <w:marBottom w:val="0"/>
          <w:divBdr>
            <w:top w:val="none" w:sz="0" w:space="0" w:color="auto"/>
            <w:left w:val="none" w:sz="0" w:space="0" w:color="auto"/>
            <w:bottom w:val="none" w:sz="0" w:space="0" w:color="auto"/>
            <w:right w:val="none" w:sz="0" w:space="0" w:color="auto"/>
          </w:divBdr>
        </w:div>
      </w:divsChild>
    </w:div>
    <w:div w:id="1865705161">
      <w:bodyDiv w:val="1"/>
      <w:marLeft w:val="0"/>
      <w:marRight w:val="0"/>
      <w:marTop w:val="0"/>
      <w:marBottom w:val="0"/>
      <w:divBdr>
        <w:top w:val="none" w:sz="0" w:space="0" w:color="auto"/>
        <w:left w:val="none" w:sz="0" w:space="0" w:color="auto"/>
        <w:bottom w:val="none" w:sz="0" w:space="0" w:color="auto"/>
        <w:right w:val="none" w:sz="0" w:space="0" w:color="auto"/>
      </w:divBdr>
    </w:div>
    <w:div w:id="1879269893">
      <w:bodyDiv w:val="1"/>
      <w:marLeft w:val="0"/>
      <w:marRight w:val="0"/>
      <w:marTop w:val="0"/>
      <w:marBottom w:val="0"/>
      <w:divBdr>
        <w:top w:val="none" w:sz="0" w:space="0" w:color="auto"/>
        <w:left w:val="none" w:sz="0" w:space="0" w:color="auto"/>
        <w:bottom w:val="none" w:sz="0" w:space="0" w:color="auto"/>
        <w:right w:val="none" w:sz="0" w:space="0" w:color="auto"/>
      </w:divBdr>
    </w:div>
    <w:div w:id="21142809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c.europa.eu/growth/single-market/public-procurement_e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c.europa.eu/competition/index_en.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c.europa.eu/justice/civil/company-law/eu-company-law/index_en.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uria.europa.eu/" TargetMode="External"/><Relationship Id="rId5" Type="http://schemas.openxmlformats.org/officeDocument/2006/relationships/settings" Target="settings.xml"/><Relationship Id="rId15" Type="http://schemas.openxmlformats.org/officeDocument/2006/relationships/hyperlink" Target="http://ec.europa.eu/consumers/index_en.htm" TargetMode="External"/><Relationship Id="rId10" Type="http://schemas.openxmlformats.org/officeDocument/2006/relationships/hyperlink" Target="http://www.juridicainternational.eu/?id=14841"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uroparl.europa.eu/RegData/etudes/IDAN/2015/565904/EPRS_IDA%282015%29565904_EN.pdf" TargetMode="External"/><Relationship Id="rId14" Type="http://schemas.openxmlformats.org/officeDocument/2006/relationships/hyperlink" Target="http://ec.europa.eu/dgs/health_food-safety/index_en.htm"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74A82-D99D-4591-856C-8C445FBAE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3741</Words>
  <Characters>21326</Characters>
  <Application>Microsoft Office Word</Application>
  <DocSecurity>4</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25017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Theodoros Galanis</dc:creator>
  <cp:lastModifiedBy>GALANIS Theodoros (TFGR)</cp:lastModifiedBy>
  <cp:revision>2</cp:revision>
  <cp:lastPrinted>2017-02-07T15:00:00Z</cp:lastPrinted>
  <dcterms:created xsi:type="dcterms:W3CDTF">2018-07-23T09:33:00Z</dcterms:created>
  <dcterms:modified xsi:type="dcterms:W3CDTF">2018-07-23T09:33:00Z</dcterms:modified>
</cp:coreProperties>
</file>