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bCs/>
          <w:i/>
          <w:iCs/>
          <w:sz w:val="40"/>
          <w:szCs w:val="40"/>
          <w:u w:val="single"/>
          <w:lang w:val="en-US"/>
        </w:rPr>
      </w:pPr>
      <w:r>
        <w:rPr>
          <w:rFonts w:hint="default"/>
          <w:b/>
          <w:bCs/>
          <w:i/>
          <w:iCs/>
          <w:sz w:val="40"/>
          <w:szCs w:val="40"/>
          <w:u w:val="single"/>
          <w:lang w:val="en-US"/>
        </w:rPr>
        <w:t>INTERCLUB AGREEMENT  -  CASE STUDY</w:t>
      </w:r>
    </w:p>
    <w:p>
      <w:pPr>
        <w:rPr>
          <w:rFonts w:hint="default"/>
          <w:b/>
          <w:bCs/>
          <w:i/>
          <w:iCs/>
          <w:sz w:val="40"/>
          <w:szCs w:val="40"/>
          <w:u w:val="single"/>
          <w:lang w:val="en-US"/>
        </w:rPr>
      </w:pPr>
    </w:p>
    <w:p>
      <w:pPr>
        <w:keepNext w:val="0"/>
        <w:keepLines w:val="0"/>
        <w:widowControl/>
        <w:suppressLineNumbers w:val="0"/>
        <w:jc w:val="left"/>
        <w:rPr>
          <w:rFonts w:hint="default" w:ascii="Arial" w:hAnsi="Arial" w:cs="Arial"/>
          <w:color w:val="auto"/>
          <w:sz w:val="24"/>
          <w:szCs w:val="24"/>
        </w:rPr>
      </w:pPr>
      <w:r>
        <w:rPr>
          <w:rStyle w:val="8"/>
          <w:rFonts w:hint="default" w:ascii="Arial" w:hAnsi="Arial" w:eastAsia="Akzidenz Grotesk Regular" w:cs="Arial"/>
          <w:b/>
          <w:bCs/>
          <w:i w:val="0"/>
          <w:iCs w:val="0"/>
          <w:caps w:val="0"/>
          <w:color w:val="auto"/>
          <w:spacing w:val="0"/>
          <w:kern w:val="0"/>
          <w:sz w:val="24"/>
          <w:szCs w:val="24"/>
          <w:lang w:val="en-US" w:eastAsia="zh-CN" w:bidi="ar"/>
        </w:rPr>
        <w:t>Background</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315" w:lineRule="atLeast"/>
        <w:ind w:left="0" w:right="0" w:firstLine="0"/>
        <w:rPr>
          <w:rFonts w:hint="default" w:ascii="Arial" w:hAnsi="Arial" w:eastAsia="Akzidenz Grotesk Regular" w:cs="Arial"/>
          <w:i w:val="0"/>
          <w:iCs w:val="0"/>
          <w:caps w:val="0"/>
          <w:color w:val="auto"/>
          <w:spacing w:val="0"/>
          <w:sz w:val="24"/>
          <w:szCs w:val="24"/>
        </w:rPr>
      </w:pPr>
      <w:r>
        <w:rPr>
          <w:rFonts w:hint="default" w:ascii="Arial" w:hAnsi="Arial" w:eastAsia="Akzidenz Grotesk Regular" w:cs="Arial"/>
          <w:i w:val="0"/>
          <w:iCs w:val="0"/>
          <w:caps w:val="0"/>
          <w:color w:val="auto"/>
          <w:spacing w:val="0"/>
          <w:sz w:val="24"/>
          <w:szCs w:val="24"/>
        </w:rPr>
        <w:t>The ICA, or to give it its full name The Inter-Club New York Produce Exchange Agreement, is an IG approved clause for the apportionment of cargo claims. It aims to provide a mechanism by which claims can be quickly apportioned between owners and charterers without the need for costly or extensive litigation. It also contains provisions for security and time bars for notification of claims.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315" w:lineRule="atLeast"/>
        <w:ind w:left="0" w:right="0" w:firstLine="0"/>
        <w:rPr>
          <w:rFonts w:hint="default" w:ascii="Arial" w:hAnsi="Arial" w:eastAsia="Akzidenz Grotesk Regular" w:cs="Arial"/>
          <w:i w:val="0"/>
          <w:iCs w:val="0"/>
          <w:caps w:val="0"/>
          <w:color w:val="auto"/>
          <w:spacing w:val="0"/>
          <w:sz w:val="24"/>
          <w:szCs w:val="24"/>
        </w:rPr>
      </w:pPr>
      <w:r>
        <w:rPr>
          <w:rFonts w:hint="default" w:ascii="Arial" w:hAnsi="Arial" w:eastAsia="Akzidenz Grotesk Regular" w:cs="Arial"/>
          <w:i w:val="0"/>
          <w:iCs w:val="0"/>
          <w:caps w:val="0"/>
          <w:color w:val="auto"/>
          <w:spacing w:val="0"/>
          <w:sz w:val="24"/>
          <w:szCs w:val="24"/>
        </w:rPr>
        <w:t>The first version of the ICA was published in 1970 but there have been subsequent amendments in 1984, 1996 and 2011. Although it was designed for incorporation into NYPE and Asbatime charters, it can theoretically be incorporated into any charterparty.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315" w:lineRule="atLeast"/>
        <w:ind w:left="0" w:right="0" w:firstLine="0"/>
        <w:rPr>
          <w:rFonts w:hint="default" w:ascii="Arial" w:hAnsi="Arial" w:eastAsia="Akzidenz Grotesk Regular" w:cs="Arial"/>
          <w:i w:val="0"/>
          <w:iCs w:val="0"/>
          <w:caps w:val="0"/>
          <w:color w:val="auto"/>
          <w:spacing w:val="0"/>
          <w:sz w:val="24"/>
          <w:szCs w:val="24"/>
        </w:rPr>
      </w:pPr>
      <w:r>
        <w:rPr>
          <w:rFonts w:hint="default" w:ascii="Arial" w:hAnsi="Arial" w:eastAsia="Akzidenz Grotesk Regular" w:cs="Arial"/>
          <w:i w:val="0"/>
          <w:iCs w:val="0"/>
          <w:caps w:val="0"/>
          <w:color w:val="auto"/>
          <w:spacing w:val="0"/>
          <w:sz w:val="24"/>
          <w:szCs w:val="24"/>
        </w:rPr>
        <w:t>Given the aim of the ICA, cases rarely proceed to litigation but 2017 and 2018 has seen some decisions emerge from the English courts.</w:t>
      </w:r>
    </w:p>
    <w:p>
      <w:pPr>
        <w:keepNext w:val="0"/>
        <w:keepLines w:val="0"/>
        <w:widowControl/>
        <w:suppressLineNumbers w:val="0"/>
        <w:jc w:val="left"/>
        <w:rPr>
          <w:rFonts w:hint="default" w:ascii="Arial" w:hAnsi="Arial" w:cs="Arial"/>
          <w:color w:val="auto"/>
          <w:sz w:val="24"/>
          <w:szCs w:val="24"/>
        </w:rPr>
      </w:pPr>
      <w:r>
        <w:rPr>
          <w:rStyle w:val="8"/>
          <w:rFonts w:hint="default" w:ascii="Arial" w:hAnsi="Arial" w:eastAsia="Akzidenz Grotesk Regular" w:cs="Arial"/>
          <w:b/>
          <w:bCs/>
          <w:i w:val="0"/>
          <w:iCs w:val="0"/>
          <w:caps w:val="0"/>
          <w:color w:val="auto"/>
          <w:spacing w:val="0"/>
          <w:kern w:val="0"/>
          <w:sz w:val="24"/>
          <w:szCs w:val="24"/>
          <w:lang w:val="en-US" w:eastAsia="zh-CN" w:bidi="ar"/>
        </w:rPr>
        <w:t>Recent developments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315" w:lineRule="atLeast"/>
        <w:ind w:left="0" w:right="0" w:firstLine="0"/>
        <w:rPr>
          <w:rFonts w:hint="default" w:ascii="Arial" w:hAnsi="Arial" w:eastAsia="Akzidenz Grotesk Regular" w:cs="Arial"/>
          <w:i w:val="0"/>
          <w:iCs w:val="0"/>
          <w:caps w:val="0"/>
          <w:color w:val="auto"/>
          <w:spacing w:val="0"/>
          <w:sz w:val="24"/>
          <w:szCs w:val="24"/>
        </w:rPr>
      </w:pPr>
      <w:r>
        <w:rPr>
          <w:rFonts w:hint="default" w:ascii="Arial" w:hAnsi="Arial" w:eastAsia="Akzidenz Grotesk Regular" w:cs="Arial"/>
          <w:i w:val="0"/>
          <w:iCs w:val="0"/>
          <w:caps w:val="0"/>
          <w:color w:val="auto"/>
          <w:spacing w:val="0"/>
          <w:sz w:val="24"/>
          <w:szCs w:val="24"/>
        </w:rPr>
        <w:t>In the Yangzte Xing Hau, a bulk carrier transported soya beans from South America to Iran. When she arrived at the discharge port in Iran, charterers ordered the vessel to wait for four months. The inherent nature of the cargo (self-heating properties) meant it could not withstand the delay. Cargo claims followed and owners brought an indemnity claim under the ICA against charterers. The claim fell within 8(d),  the catch all provision of the ICA – where claims are apportioned 50/50 unless “…there is clear and irrefutable evidence that the claim arose out of the act or neglect of the one or the  other (including their servants or sub-contractors) in which case that party shall then bear 100% of the claim.”</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315" w:lineRule="atLeast"/>
        <w:ind w:left="0" w:right="0" w:firstLine="0"/>
        <w:rPr>
          <w:rFonts w:hint="default" w:ascii="Arial" w:hAnsi="Arial" w:eastAsia="Akzidenz Grotesk Regular" w:cs="Arial"/>
          <w:i w:val="0"/>
          <w:iCs w:val="0"/>
          <w:caps w:val="0"/>
          <w:color w:val="auto"/>
          <w:spacing w:val="0"/>
          <w:sz w:val="24"/>
          <w:szCs w:val="24"/>
        </w:rPr>
      </w:pPr>
      <w:r>
        <w:rPr>
          <w:rFonts w:hint="default" w:ascii="Arial" w:hAnsi="Arial" w:eastAsia="Akzidenz Grotesk Regular" w:cs="Arial"/>
          <w:i w:val="0"/>
          <w:iCs w:val="0"/>
          <w:caps w:val="0"/>
          <w:color w:val="auto"/>
          <w:spacing w:val="0"/>
          <w:sz w:val="24"/>
          <w:szCs w:val="24"/>
        </w:rPr>
        <w:t>Owners argued that charterers act of loading the soya beans together with their orders for the ship to wait for four months meant that charterers were 100% liable under the ICA. Charterers attempted to argue that “act” should mean “culpable act” and that reference to “act or neglect” meant “fault”.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315" w:lineRule="atLeast"/>
        <w:ind w:left="0" w:right="0" w:firstLine="0"/>
        <w:rPr>
          <w:rFonts w:hint="default" w:ascii="Arial" w:hAnsi="Arial" w:eastAsia="Akzidenz Grotesk Regular" w:cs="Arial"/>
          <w:i w:val="0"/>
          <w:iCs w:val="0"/>
          <w:caps w:val="0"/>
          <w:color w:val="auto"/>
          <w:spacing w:val="0"/>
          <w:sz w:val="24"/>
          <w:szCs w:val="24"/>
        </w:rPr>
      </w:pPr>
      <w:r>
        <w:rPr>
          <w:rFonts w:hint="default" w:ascii="Arial" w:hAnsi="Arial" w:eastAsia="Akzidenz Grotesk Regular" w:cs="Arial"/>
          <w:i w:val="0"/>
          <w:iCs w:val="0"/>
          <w:caps w:val="0"/>
          <w:color w:val="auto"/>
          <w:spacing w:val="0"/>
          <w:sz w:val="24"/>
          <w:szCs w:val="24"/>
        </w:rPr>
        <w:t>At first instance, Teare J. disagreed with charterers and upheld the LMAA decision. The subsequent Court of Appeal decision upheld the prior decisions and noted that the word “act” was to be given its natural meaning and did not mean “culpable act”.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315" w:lineRule="atLeast"/>
        <w:ind w:left="0" w:right="0" w:firstLine="0"/>
        <w:rPr>
          <w:rFonts w:hint="default" w:ascii="Arial" w:hAnsi="Arial" w:eastAsia="Akzidenz Grotesk Regular" w:cs="Arial"/>
          <w:i w:val="0"/>
          <w:iCs w:val="0"/>
          <w:caps w:val="0"/>
          <w:color w:val="auto"/>
          <w:spacing w:val="0"/>
          <w:sz w:val="24"/>
          <w:szCs w:val="24"/>
        </w:rPr>
      </w:pPr>
      <w:r>
        <w:rPr>
          <w:rFonts w:hint="default" w:ascii="Arial" w:hAnsi="Arial" w:eastAsia="Akzidenz Grotesk Regular" w:cs="Arial"/>
          <w:i w:val="0"/>
          <w:iCs w:val="0"/>
          <w:caps w:val="0"/>
          <w:color w:val="auto"/>
          <w:spacing w:val="0"/>
          <w:sz w:val="24"/>
          <w:szCs w:val="24"/>
        </w:rPr>
        <w:t>In Agile Holdings v Essar Shipping the vessel was on a trip time charter voyage from Tunisia to the West Coast of India, carrying a cargo of direct reduced iron (DRI). During loading a fire was observed on the conveyor belt but supercargo inspected the holds and advised that loading could continue. Whilst on route to the discharge port the cargo combusted and caused heat damage.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315" w:lineRule="atLeast"/>
        <w:ind w:left="0" w:right="0" w:firstLine="0"/>
        <w:rPr>
          <w:rFonts w:hint="default" w:ascii="Arial" w:hAnsi="Arial" w:eastAsia="Akzidenz Grotesk Regular" w:cs="Arial"/>
          <w:i w:val="0"/>
          <w:iCs w:val="0"/>
          <w:caps w:val="0"/>
          <w:color w:val="auto"/>
          <w:spacing w:val="0"/>
          <w:sz w:val="24"/>
          <w:szCs w:val="24"/>
        </w:rPr>
      </w:pPr>
      <w:r>
        <w:rPr>
          <w:rFonts w:hint="default" w:ascii="Arial" w:hAnsi="Arial" w:eastAsia="Akzidenz Grotesk Regular" w:cs="Arial"/>
          <w:i w:val="0"/>
          <w:iCs w:val="0"/>
          <w:caps w:val="0"/>
          <w:color w:val="auto"/>
          <w:spacing w:val="0"/>
          <w:sz w:val="24"/>
          <w:szCs w:val="24"/>
        </w:rPr>
        <w:t>The tribunal found that cl.8(b) of the ICA was the relevant clause, which states that any claim arising out of the loading, stowage, lashing, discharge, etc. of the cargo is 100% for charterers unless the word “and responsibility” are added to clause 8 of the NYPE or a similar amendment is incorporated Clause 8 of the NYPE remained unamended but a rider clause did provide that “the Stevedores although appointed and paid by Charterers/Shippers/Receivers and or their Agents, to remain under the direction of the Master who will be responsible for proper stowage and seaworthiness and safety of the vessel…” Charterers tried to argue that this was a similar amendment for the purposes of the ICA. The Tribunal agreed but the Court found that as there had only been a partial transfer of responsibility (stowage only not loading) this was not enough to shift the responsibility as required by cl. 8(b) ICA.</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315" w:lineRule="atLeast"/>
        <w:ind w:left="0" w:right="0" w:firstLine="0"/>
        <w:rPr>
          <w:rFonts w:hint="default" w:ascii="Arial" w:hAnsi="Arial" w:eastAsia="Akzidenz Grotesk Regular" w:cs="Arial"/>
          <w:i w:val="0"/>
          <w:iCs w:val="0"/>
          <w:caps w:val="0"/>
          <w:color w:val="auto"/>
          <w:spacing w:val="0"/>
          <w:sz w:val="24"/>
          <w:szCs w:val="24"/>
        </w:rPr>
      </w:pPr>
      <w:r>
        <w:rPr>
          <w:rFonts w:hint="default" w:ascii="Arial" w:hAnsi="Arial" w:eastAsia="Akzidenz Grotesk Regular" w:cs="Arial"/>
          <w:i w:val="0"/>
          <w:iCs w:val="0"/>
          <w:caps w:val="0"/>
          <w:color w:val="auto"/>
          <w:spacing w:val="0"/>
          <w:sz w:val="24"/>
          <w:szCs w:val="24"/>
        </w:rPr>
        <w:t>These decisions don’t radically deviate from previous ICA case law but do highlight that the Courts are more likely to give the wording of the ICA its natural meaning and underline the rationale of the ICA and it’s more mechanical and simple approach to apportionment.</w:t>
      </w:r>
    </w:p>
    <w:p>
      <w:pPr>
        <w:keepNext w:val="0"/>
        <w:keepLines w:val="0"/>
        <w:widowControl/>
        <w:suppressLineNumbers w:val="0"/>
        <w:jc w:val="left"/>
        <w:rPr>
          <w:rFonts w:hint="default" w:ascii="Arial" w:hAnsi="Arial" w:cs="Arial"/>
          <w:color w:val="auto"/>
          <w:sz w:val="24"/>
          <w:szCs w:val="24"/>
        </w:rPr>
      </w:pPr>
      <w:r>
        <w:rPr>
          <w:rStyle w:val="8"/>
          <w:rFonts w:hint="default" w:ascii="Arial" w:hAnsi="Arial" w:eastAsia="Akzidenz Grotesk Regular" w:cs="Arial"/>
          <w:b/>
          <w:bCs/>
          <w:i w:val="0"/>
          <w:iCs w:val="0"/>
          <w:caps w:val="0"/>
          <w:color w:val="auto"/>
          <w:spacing w:val="0"/>
          <w:kern w:val="0"/>
          <w:sz w:val="24"/>
          <w:szCs w:val="24"/>
          <w:lang w:val="en-US" w:eastAsia="zh-CN" w:bidi="ar"/>
        </w:rPr>
        <w:t>Links</w:t>
      </w:r>
      <w:r>
        <w:rPr>
          <w:rFonts w:hint="default" w:ascii="Arial" w:hAnsi="Arial" w:eastAsia="Akzidenz Grotesk Regular" w:cs="Arial"/>
          <w:i w:val="0"/>
          <w:iCs w:val="0"/>
          <w:caps w:val="0"/>
          <w:color w:val="auto"/>
          <w:spacing w:val="0"/>
          <w:kern w:val="0"/>
          <w:sz w:val="24"/>
          <w:szCs w:val="24"/>
          <w:u w:val="none"/>
          <w:lang w:val="en-US" w:eastAsia="zh-CN" w:bidi="ar"/>
        </w:rPr>
        <w:fldChar w:fldCharType="begin"/>
      </w:r>
      <w:r>
        <w:rPr>
          <w:rFonts w:hint="default" w:ascii="Arial" w:hAnsi="Arial" w:eastAsia="Akzidenz Grotesk Regular" w:cs="Arial"/>
          <w:i w:val="0"/>
          <w:iCs w:val="0"/>
          <w:caps w:val="0"/>
          <w:color w:val="auto"/>
          <w:spacing w:val="0"/>
          <w:kern w:val="0"/>
          <w:sz w:val="24"/>
          <w:szCs w:val="24"/>
          <w:u w:val="none"/>
          <w:lang w:val="en-US" w:eastAsia="zh-CN" w:bidi="ar"/>
        </w:rPr>
        <w:instrText xml:space="preserve"> HYPERLINK "http://inter-club/?1" \t "https://www.ukpandi.com/opinion/ica-update-recent-developments-in-the-english-courts/Agreement" </w:instrText>
      </w:r>
      <w:r>
        <w:rPr>
          <w:rFonts w:hint="default" w:ascii="Arial" w:hAnsi="Arial" w:eastAsia="Akzidenz Grotesk Regular" w:cs="Arial"/>
          <w:i w:val="0"/>
          <w:iCs w:val="0"/>
          <w:caps w:val="0"/>
          <w:color w:val="auto"/>
          <w:spacing w:val="0"/>
          <w:kern w:val="0"/>
          <w:sz w:val="24"/>
          <w:szCs w:val="24"/>
          <w:u w:val="none"/>
          <w:lang w:val="en-US" w:eastAsia="zh-CN" w:bidi="ar"/>
        </w:rPr>
        <w:fldChar w:fldCharType="separate"/>
      </w:r>
      <w:r>
        <w:rPr>
          <w:rStyle w:val="6"/>
          <w:rFonts w:hint="default" w:ascii="Arial" w:hAnsi="Arial" w:eastAsia="Akzidenz Grotesk Regular" w:cs="Arial"/>
          <w:i w:val="0"/>
          <w:iCs w:val="0"/>
          <w:caps w:val="0"/>
          <w:color w:val="auto"/>
          <w:spacing w:val="0"/>
          <w:sz w:val="24"/>
          <w:szCs w:val="24"/>
          <w:u w:val="none"/>
        </w:rPr>
        <w:t>Inter-Club Agreement (as amended 1 September 2011)</w:t>
      </w:r>
      <w:r>
        <w:rPr>
          <w:rFonts w:hint="default" w:ascii="Arial" w:hAnsi="Arial" w:eastAsia="Akzidenz Grotesk Regular" w:cs="Arial"/>
          <w:i w:val="0"/>
          <w:iCs w:val="0"/>
          <w:caps w:val="0"/>
          <w:color w:val="auto"/>
          <w:spacing w:val="0"/>
          <w:kern w:val="0"/>
          <w:sz w:val="24"/>
          <w:szCs w:val="24"/>
          <w:u w:val="none"/>
          <w:lang w:val="en-US" w:eastAsia="zh-CN" w:bidi="ar"/>
        </w:rPr>
        <w:fldChar w:fldCharType="end"/>
      </w:r>
      <w:r>
        <w:rPr>
          <w:rFonts w:hint="default" w:ascii="Arial" w:hAnsi="Arial" w:eastAsia="Akzidenz Grotesk Regular" w:cs="Arial"/>
          <w:i w:val="0"/>
          <w:iCs w:val="0"/>
          <w:caps w:val="0"/>
          <w:color w:val="auto"/>
          <w:spacing w:val="0"/>
          <w:kern w:val="0"/>
          <w:sz w:val="24"/>
          <w:szCs w:val="24"/>
          <w:u w:val="none"/>
          <w:lang w:val="en-US" w:eastAsia="zh-CN" w:bidi="ar"/>
        </w:rPr>
        <w:fldChar w:fldCharType="begin"/>
      </w:r>
      <w:r>
        <w:rPr>
          <w:rFonts w:hint="default" w:ascii="Arial" w:hAnsi="Arial" w:eastAsia="Akzidenz Grotesk Regular" w:cs="Arial"/>
          <w:i w:val="0"/>
          <w:iCs w:val="0"/>
          <w:caps w:val="0"/>
          <w:color w:val="auto"/>
          <w:spacing w:val="0"/>
          <w:kern w:val="0"/>
          <w:sz w:val="24"/>
          <w:szCs w:val="24"/>
          <w:u w:val="none"/>
          <w:lang w:val="en-US" w:eastAsia="zh-CN" w:bidi="ar"/>
        </w:rPr>
        <w:instrText xml:space="preserve"> HYPERLINK "http://www.bailii.org/ew/cases/EWCA/Civ/2017/2107.html" \t "https://www.ukpandi.com/opinion/ica-update-recent-developments-in-the-english-courts/Shipping" </w:instrText>
      </w:r>
      <w:r>
        <w:rPr>
          <w:rFonts w:hint="default" w:ascii="Arial" w:hAnsi="Arial" w:eastAsia="Akzidenz Grotesk Regular" w:cs="Arial"/>
          <w:i w:val="0"/>
          <w:iCs w:val="0"/>
          <w:caps w:val="0"/>
          <w:color w:val="auto"/>
          <w:spacing w:val="0"/>
          <w:kern w:val="0"/>
          <w:sz w:val="24"/>
          <w:szCs w:val="24"/>
          <w:u w:val="none"/>
          <w:lang w:val="en-US" w:eastAsia="zh-CN" w:bidi="ar"/>
        </w:rPr>
        <w:fldChar w:fldCharType="separate"/>
      </w:r>
      <w:r>
        <w:rPr>
          <w:rStyle w:val="6"/>
          <w:rFonts w:hint="default" w:ascii="Arial" w:hAnsi="Arial" w:eastAsia="Akzidenz Grotesk Regular" w:cs="Arial"/>
          <w:i w:val="0"/>
          <w:iCs w:val="0"/>
          <w:caps w:val="0"/>
          <w:color w:val="auto"/>
          <w:spacing w:val="0"/>
          <w:sz w:val="24"/>
          <w:szCs w:val="24"/>
          <w:u w:val="none"/>
        </w:rPr>
        <w:t>Transgrain Shipping v Yangtze Navigation [2017] EWCA Civ 2107(“Yangzte Xing Hau”)</w:t>
      </w:r>
      <w:r>
        <w:rPr>
          <w:rFonts w:hint="default" w:ascii="Arial" w:hAnsi="Arial" w:eastAsia="Akzidenz Grotesk Regular" w:cs="Arial"/>
          <w:i w:val="0"/>
          <w:iCs w:val="0"/>
          <w:caps w:val="0"/>
          <w:color w:val="auto"/>
          <w:spacing w:val="0"/>
          <w:kern w:val="0"/>
          <w:sz w:val="24"/>
          <w:szCs w:val="24"/>
          <w:u w:val="none"/>
          <w:lang w:val="en-US" w:eastAsia="zh-CN" w:bidi="ar"/>
        </w:rPr>
        <w:fldChar w:fldCharType="end"/>
      </w:r>
      <w:r>
        <w:rPr>
          <w:rFonts w:hint="default" w:ascii="Arial" w:hAnsi="Arial" w:eastAsia="Akzidenz Grotesk Regular" w:cs="Arial"/>
          <w:i w:val="0"/>
          <w:iCs w:val="0"/>
          <w:caps w:val="0"/>
          <w:color w:val="auto"/>
          <w:spacing w:val="0"/>
          <w:kern w:val="0"/>
          <w:sz w:val="24"/>
          <w:szCs w:val="24"/>
          <w:u w:val="none"/>
          <w:lang w:val="en-US" w:eastAsia="zh-CN" w:bidi="ar"/>
        </w:rPr>
        <w:fldChar w:fldCharType="begin"/>
      </w:r>
      <w:r>
        <w:rPr>
          <w:rFonts w:hint="default" w:ascii="Arial" w:hAnsi="Arial" w:eastAsia="Akzidenz Grotesk Regular" w:cs="Arial"/>
          <w:i w:val="0"/>
          <w:iCs w:val="0"/>
          <w:caps w:val="0"/>
          <w:color w:val="auto"/>
          <w:spacing w:val="0"/>
          <w:kern w:val="0"/>
          <w:sz w:val="24"/>
          <w:szCs w:val="24"/>
          <w:u w:val="none"/>
          <w:lang w:val="en-US" w:eastAsia="zh-CN" w:bidi="ar"/>
        </w:rPr>
        <w:instrText xml:space="preserve"> HYPERLINK "http://www.bailii.org/ew/cases/EWHC/Comm/2018/1055.html" \t "https://www.ukpandi.com/opinion/ica-update-recent-developments-in-the-english-courts/Holdings" </w:instrText>
      </w:r>
      <w:r>
        <w:rPr>
          <w:rFonts w:hint="default" w:ascii="Arial" w:hAnsi="Arial" w:eastAsia="Akzidenz Grotesk Regular" w:cs="Arial"/>
          <w:i w:val="0"/>
          <w:iCs w:val="0"/>
          <w:caps w:val="0"/>
          <w:color w:val="auto"/>
          <w:spacing w:val="0"/>
          <w:kern w:val="0"/>
          <w:sz w:val="24"/>
          <w:szCs w:val="24"/>
          <w:u w:val="none"/>
          <w:lang w:val="en-US" w:eastAsia="zh-CN" w:bidi="ar"/>
        </w:rPr>
        <w:fldChar w:fldCharType="separate"/>
      </w:r>
      <w:r>
        <w:rPr>
          <w:rStyle w:val="6"/>
          <w:rFonts w:hint="default" w:ascii="Arial" w:hAnsi="Arial" w:eastAsia="Akzidenz Grotesk Regular" w:cs="Arial"/>
          <w:i w:val="0"/>
          <w:iCs w:val="0"/>
          <w:caps w:val="0"/>
          <w:color w:val="auto"/>
          <w:spacing w:val="0"/>
          <w:sz w:val="24"/>
          <w:szCs w:val="24"/>
          <w:u w:val="none"/>
        </w:rPr>
        <w:t>Agile Holdings v Essar Shipping [2018] EWHC 1055 (Comm)</w:t>
      </w:r>
      <w:r>
        <w:rPr>
          <w:rFonts w:hint="default" w:ascii="Arial" w:hAnsi="Arial" w:eastAsia="Akzidenz Grotesk Regular" w:cs="Arial"/>
          <w:i w:val="0"/>
          <w:iCs w:val="0"/>
          <w:caps w:val="0"/>
          <w:color w:val="auto"/>
          <w:spacing w:val="0"/>
          <w:kern w:val="0"/>
          <w:sz w:val="24"/>
          <w:szCs w:val="24"/>
          <w:u w:val="none"/>
          <w:lang w:val="en-US" w:eastAsia="zh-CN" w:bidi="ar"/>
        </w:rPr>
        <w:fldChar w:fldCharType="end"/>
      </w:r>
    </w:p>
    <w:p>
      <w:pPr>
        <w:rPr>
          <w:rFonts w:hint="default"/>
          <w:b/>
          <w:bCs/>
          <w:i/>
          <w:iCs/>
          <w:sz w:val="40"/>
          <w:szCs w:val="40"/>
          <w:u w:val="single"/>
          <w:lang w:val="en-US"/>
        </w:rPr>
      </w:pPr>
    </w:p>
    <w:p>
      <w:pPr>
        <w:rPr>
          <w:rFonts w:hint="default"/>
          <w:b w:val="0"/>
          <w:bCs w:val="0"/>
          <w:i w:val="0"/>
          <w:iCs w:val="0"/>
          <w:sz w:val="40"/>
          <w:szCs w:val="40"/>
          <w:u w:val="none"/>
          <w:lang w:val="en-US"/>
        </w:rPr>
      </w:pPr>
      <w:r>
        <w:rPr>
          <w:rFonts w:hint="default"/>
          <w:b w:val="0"/>
          <w:bCs w:val="0"/>
          <w:i w:val="0"/>
          <w:iCs w:val="0"/>
          <w:sz w:val="40"/>
          <w:szCs w:val="40"/>
          <w:u w:val="none"/>
          <w:lang w:val="en-US"/>
        </w:rPr>
        <w:t>+</w:t>
      </w:r>
    </w:p>
    <w:p>
      <w:pPr>
        <w:rPr>
          <w:rFonts w:hint="default"/>
          <w:b w:val="0"/>
          <w:bCs w:val="0"/>
          <w:i w:val="0"/>
          <w:iCs w:val="0"/>
          <w:sz w:val="40"/>
          <w:szCs w:val="40"/>
          <w:u w:val="none"/>
          <w:lang w:val="en-US"/>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rPr>
          <w:rFonts w:hint="default" w:ascii="Arial" w:hAnsi="Arial" w:eastAsia="Akzidenz Grotesk Regular" w:cs="Arial"/>
          <w:i w:val="0"/>
          <w:iCs w:val="0"/>
          <w:caps w:val="0"/>
          <w:spacing w:val="0"/>
          <w:sz w:val="28"/>
          <w:szCs w:val="28"/>
        </w:rPr>
      </w:pPr>
      <w:r>
        <w:rPr>
          <w:rFonts w:hint="default" w:ascii="Arial" w:hAnsi="Arial" w:eastAsia="Akzidenz Grotesk Regular" w:cs="Arial"/>
          <w:i w:val="0"/>
          <w:iCs w:val="0"/>
          <w:caps w:val="0"/>
          <w:spacing w:val="0"/>
          <w:sz w:val="28"/>
          <w:szCs w:val="28"/>
        </w:rPr>
        <w:t>Whether the ICA 2011 had been</w:t>
      </w:r>
      <w:r>
        <w:rPr>
          <w:rFonts w:hint="default" w:ascii="Arial" w:hAnsi="Arial" w:eastAsia="Akzidenz Grotesk Regular" w:cs="Arial"/>
          <w:i w:val="0"/>
          <w:iCs w:val="0"/>
          <w:caps w:val="0"/>
          <w:color w:val="FF0000"/>
          <w:spacing w:val="0"/>
          <w:sz w:val="28"/>
          <w:szCs w:val="28"/>
        </w:rPr>
        <w:t xml:space="preserve"> incorporated in full</w:t>
      </w:r>
      <w:r>
        <w:rPr>
          <w:rFonts w:hint="default" w:ascii="Arial" w:hAnsi="Arial" w:eastAsia="Akzidenz Grotesk Regular" w:cs="Arial"/>
          <w:i w:val="0"/>
          <w:iCs w:val="0"/>
          <w:caps w:val="0"/>
          <w:spacing w:val="0"/>
          <w:sz w:val="28"/>
          <w:szCs w:val="28"/>
        </w:rPr>
        <w:t xml:space="preserve"> into charterparty so as to require charterers to provide counter-</w:t>
      </w:r>
      <w:bookmarkStart w:id="0" w:name="_GoBack"/>
      <w:bookmarkEnd w:id="0"/>
      <w:r>
        <w:rPr>
          <w:rFonts w:hint="default" w:ascii="Arial" w:hAnsi="Arial" w:eastAsia="Akzidenz Grotesk Regular" w:cs="Arial"/>
          <w:i w:val="0"/>
          <w:iCs w:val="0"/>
          <w:caps w:val="0"/>
          <w:spacing w:val="0"/>
          <w:sz w:val="28"/>
          <w:szCs w:val="28"/>
        </w:rPr>
        <w:t>security</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315" w:lineRule="atLeast"/>
        <w:ind w:left="0" w:right="0"/>
        <w:rPr>
          <w:rFonts w:hint="default" w:ascii="Arial" w:hAnsi="Arial" w:cs="Arial"/>
          <w:sz w:val="24"/>
          <w:szCs w:val="24"/>
        </w:rPr>
      </w:pPr>
      <w:r>
        <w:rPr>
          <w:rStyle w:val="8"/>
          <w:rFonts w:hint="default" w:ascii="Arial" w:hAnsi="Arial" w:eastAsia="Akzidenz Grotesk Regular" w:cs="Arial"/>
          <w:b/>
          <w:bCs/>
          <w:i w:val="0"/>
          <w:iCs w:val="0"/>
          <w:caps w:val="0"/>
          <w:color w:val="686868"/>
          <w:spacing w:val="0"/>
          <w:sz w:val="24"/>
          <w:szCs w:val="24"/>
        </w:rPr>
        <w:t>London Arbitration 18/18 (2018) 1010 LMLN 2</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315" w:lineRule="atLeast"/>
        <w:ind w:left="0" w:right="0"/>
        <w:rPr>
          <w:rFonts w:hint="default" w:ascii="Arial" w:hAnsi="Arial" w:cs="Arial"/>
          <w:sz w:val="24"/>
          <w:szCs w:val="24"/>
        </w:rPr>
      </w:pPr>
      <w:r>
        <w:rPr>
          <w:rStyle w:val="8"/>
          <w:rFonts w:hint="default" w:ascii="Arial" w:hAnsi="Arial" w:eastAsia="Akzidenz Grotesk Regular" w:cs="Arial"/>
          <w:b/>
          <w:bCs/>
          <w:i w:val="0"/>
          <w:iCs w:val="0"/>
          <w:caps w:val="0"/>
          <w:color w:val="686868"/>
          <w:spacing w:val="0"/>
          <w:sz w:val="24"/>
          <w:szCs w:val="24"/>
        </w:rPr>
        <w:t>Facts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315" w:lineRule="atLeast"/>
        <w:ind w:left="0" w:right="0"/>
        <w:rPr>
          <w:rFonts w:hint="default" w:ascii="Arial" w:hAnsi="Arial" w:cs="Arial"/>
          <w:sz w:val="24"/>
          <w:szCs w:val="24"/>
        </w:rPr>
      </w:pPr>
      <w:r>
        <w:rPr>
          <w:rFonts w:hint="default" w:ascii="Arial" w:hAnsi="Arial" w:eastAsia="Akzidenz Grotesk Regular" w:cs="Arial"/>
          <w:i w:val="0"/>
          <w:iCs w:val="0"/>
          <w:caps w:val="0"/>
          <w:color w:val="686868"/>
          <w:spacing w:val="0"/>
          <w:sz w:val="24"/>
          <w:szCs w:val="24"/>
        </w:rPr>
        <w:t>The vessel was chartered by the claimant disponent owners (“the owners”) to the respondent charterers on an NYPE 1946 form with additional clauses. A cargo claim was raised against the head owners for alleged damage amounting to US$900,000. Following the threat of the vessel being arrested, the head owners’ P&amp;I Club provided the cargo insurers with security of US$900,000 in the form of a letter of undertaking (LOU), and demanded security for the same from the owners, which was duly provided.</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315" w:lineRule="atLeast"/>
        <w:ind w:left="0" w:right="0"/>
        <w:rPr>
          <w:rFonts w:hint="default" w:ascii="Arial" w:hAnsi="Arial" w:cs="Arial"/>
          <w:sz w:val="24"/>
          <w:szCs w:val="24"/>
        </w:rPr>
      </w:pPr>
      <w:r>
        <w:rPr>
          <w:rFonts w:hint="default" w:ascii="Arial" w:hAnsi="Arial" w:eastAsia="Akzidenz Grotesk Regular" w:cs="Arial"/>
          <w:i w:val="0"/>
          <w:iCs w:val="0"/>
          <w:caps w:val="0"/>
          <w:color w:val="686868"/>
          <w:spacing w:val="0"/>
          <w:sz w:val="24"/>
          <w:szCs w:val="24"/>
        </w:rPr>
        <w:t>The owners took the view that the head owners were entitled to counter-security pursuant to their rights under the Interclub NYPE Agreement 2011 (ICA 2011) which they believed was incorporated into their charterparty. The charterparties between the head owners and the owners and the charterers were essentially on back-to-back terms. However the charterers’ P&amp;I Club refused to provide counter-security to the owners.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315" w:lineRule="atLeast"/>
        <w:ind w:left="0" w:right="0"/>
        <w:rPr>
          <w:rFonts w:hint="default" w:ascii="Arial" w:hAnsi="Arial" w:cs="Arial"/>
          <w:sz w:val="24"/>
          <w:szCs w:val="24"/>
        </w:rPr>
      </w:pPr>
      <w:r>
        <w:rPr>
          <w:rFonts w:hint="default" w:ascii="Arial" w:hAnsi="Arial" w:eastAsia="Akzidenz Grotesk Regular" w:cs="Arial"/>
          <w:i w:val="0"/>
          <w:iCs w:val="0"/>
          <w:caps w:val="0"/>
          <w:color w:val="686868"/>
          <w:spacing w:val="0"/>
          <w:sz w:val="24"/>
          <w:szCs w:val="24"/>
        </w:rPr>
        <w:t>The owners brought arbitration proceedings against the charterers and applied, under section 48(5)(b) of the Arbitration Act 1996, for an immediate order for specific performance from the charterers for the provision of counter-security in the form of a Club LOU, or a suitably worded guarantee from a first class London bank, alternatively, the placement of the demanded security amount into escrow with the owners’ P&amp;I insurer.</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315" w:lineRule="atLeast"/>
        <w:ind w:left="0" w:right="0"/>
        <w:rPr>
          <w:rFonts w:hint="default" w:ascii="Arial" w:hAnsi="Arial" w:cs="Arial"/>
          <w:sz w:val="24"/>
          <w:szCs w:val="24"/>
        </w:rPr>
      </w:pPr>
      <w:r>
        <w:rPr>
          <w:rFonts w:hint="default" w:ascii="Arial" w:hAnsi="Arial" w:eastAsia="Akzidenz Grotesk Regular" w:cs="Arial"/>
          <w:i w:val="0"/>
          <w:iCs w:val="0"/>
          <w:caps w:val="0"/>
          <w:color w:val="686868"/>
          <w:spacing w:val="0"/>
          <w:sz w:val="24"/>
          <w:szCs w:val="24"/>
        </w:rPr>
        <w:t>The charterers opposed the application and denied that they were obliged to provide counter-security under the terms of the charterparty or ICA 2011. They said that the words used in clause 35 of the charterparty were not suitable or appropriate to incorporate into the charterparty the terms of ICA 2011or the provisions regarding security.</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315" w:lineRule="atLeast"/>
        <w:ind w:left="0" w:right="0"/>
        <w:rPr>
          <w:rFonts w:hint="default" w:ascii="Arial" w:hAnsi="Arial" w:cs="Arial"/>
          <w:sz w:val="24"/>
          <w:szCs w:val="24"/>
        </w:rPr>
      </w:pPr>
      <w:r>
        <w:rPr>
          <w:rStyle w:val="8"/>
          <w:rFonts w:hint="default" w:ascii="Arial" w:hAnsi="Arial" w:eastAsia="Akzidenz Grotesk Regular" w:cs="Arial"/>
          <w:b/>
          <w:bCs/>
          <w:i w:val="0"/>
          <w:iCs w:val="0"/>
          <w:caps w:val="0"/>
          <w:color w:val="686868"/>
          <w:spacing w:val="0"/>
          <w:sz w:val="24"/>
          <w:szCs w:val="24"/>
        </w:rPr>
        <w:t>The Tribunal's Award</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315" w:lineRule="atLeast"/>
        <w:ind w:left="0" w:right="0"/>
        <w:rPr>
          <w:rFonts w:hint="default" w:ascii="Arial" w:hAnsi="Arial" w:cs="Arial"/>
          <w:sz w:val="24"/>
          <w:szCs w:val="24"/>
        </w:rPr>
      </w:pPr>
      <w:r>
        <w:rPr>
          <w:rFonts w:hint="default" w:ascii="Arial" w:hAnsi="Arial" w:eastAsia="Akzidenz Grotesk Regular" w:cs="Arial"/>
          <w:i w:val="0"/>
          <w:iCs w:val="0"/>
          <w:caps w:val="0"/>
          <w:color w:val="686868"/>
          <w:spacing w:val="0"/>
          <w:sz w:val="24"/>
          <w:szCs w:val="24"/>
        </w:rPr>
        <w:t>The charterparty included at clause 35 the following sentence providing that </w:t>
      </w:r>
      <w:r>
        <w:rPr>
          <w:rStyle w:val="5"/>
          <w:rFonts w:hint="default" w:ascii="Arial" w:hAnsi="Arial" w:eastAsia="Akzidenz Grotesk Regular" w:cs="Arial"/>
          <w:i w:val="0"/>
          <w:iCs w:val="0"/>
          <w:caps w:val="0"/>
          <w:color w:val="686868"/>
          <w:spacing w:val="0"/>
          <w:sz w:val="24"/>
          <w:szCs w:val="24"/>
        </w:rPr>
        <w:t>“… liability for cargo claims, as between Charterers and Owners, shall be apportioned/settled as specified by the Interclub New York Produce Exchange Agreement effective from 1996 and its subsequent amendments</w:t>
      </w:r>
      <w:r>
        <w:rPr>
          <w:rFonts w:hint="default" w:ascii="Arial" w:hAnsi="Arial" w:eastAsia="Akzidenz Grotesk Regular" w:cs="Arial"/>
          <w:i w:val="0"/>
          <w:iCs w:val="0"/>
          <w:caps w:val="0"/>
          <w:color w:val="686868"/>
          <w:spacing w:val="0"/>
          <w:sz w:val="24"/>
          <w:szCs w:val="24"/>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315" w:lineRule="atLeast"/>
        <w:ind w:left="0" w:right="0"/>
        <w:rPr>
          <w:rFonts w:hint="default" w:ascii="Arial" w:hAnsi="Arial" w:cs="Arial"/>
          <w:sz w:val="24"/>
          <w:szCs w:val="24"/>
        </w:rPr>
      </w:pPr>
      <w:r>
        <w:rPr>
          <w:rFonts w:hint="default" w:ascii="Arial" w:hAnsi="Arial" w:eastAsia="Akzidenz Grotesk Regular" w:cs="Arial"/>
          <w:i w:val="0"/>
          <w:iCs w:val="0"/>
          <w:caps w:val="0"/>
          <w:color w:val="686868"/>
          <w:spacing w:val="0"/>
          <w:sz w:val="24"/>
          <w:szCs w:val="24"/>
        </w:rPr>
        <w:t>The charterers had argued that it was only those parts of ICA 2011 relating to apportionment and settlement of claims to which reference could be made in clause 35, and that the wording of clause 35 did not provide any basis for applying clause (9) of ICA 2011 which dealt with security for claims. They also argued that the wording of clause 35 of the charterparty did not incorporate the full text of ICA 2011, referring to </w:t>
      </w:r>
      <w:r>
        <w:rPr>
          <w:rStyle w:val="5"/>
          <w:rFonts w:hint="default" w:ascii="Arial" w:hAnsi="Arial" w:eastAsia="Akzidenz Grotesk Regular" w:cs="Arial"/>
          <w:i w:val="0"/>
          <w:iCs w:val="0"/>
          <w:caps w:val="0"/>
          <w:color w:val="686868"/>
          <w:spacing w:val="0"/>
          <w:sz w:val="24"/>
          <w:szCs w:val="24"/>
        </w:rPr>
        <w:t>The Ion [1980] 2 Lloyd’s Rep 245</w:t>
      </w:r>
      <w:r>
        <w:rPr>
          <w:rFonts w:hint="default" w:ascii="Arial" w:hAnsi="Arial" w:eastAsia="Akzidenz Grotesk Regular" w:cs="Arial"/>
          <w:i w:val="0"/>
          <w:iCs w:val="0"/>
          <w:caps w:val="0"/>
          <w:color w:val="686868"/>
          <w:spacing w:val="0"/>
          <w:sz w:val="24"/>
          <w:szCs w:val="24"/>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315" w:lineRule="atLeast"/>
        <w:ind w:left="0" w:right="0"/>
        <w:rPr>
          <w:rFonts w:hint="default" w:ascii="Arial" w:hAnsi="Arial" w:cs="Arial"/>
          <w:sz w:val="24"/>
          <w:szCs w:val="24"/>
        </w:rPr>
      </w:pPr>
      <w:r>
        <w:rPr>
          <w:rFonts w:hint="default" w:ascii="Arial" w:hAnsi="Arial" w:eastAsia="Akzidenz Grotesk Regular" w:cs="Arial"/>
          <w:i w:val="0"/>
          <w:iCs w:val="0"/>
          <w:caps w:val="0"/>
          <w:color w:val="686868"/>
          <w:spacing w:val="0"/>
          <w:sz w:val="24"/>
          <w:szCs w:val="24"/>
        </w:rPr>
        <w:t>The owners argued that clause 35 made it clear that the terms of ICA 2011 applied (and were therefore incorporated into the charterparty) in full as regards liability for cargo claims.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315" w:lineRule="atLeast"/>
        <w:ind w:left="0" w:right="0"/>
        <w:rPr>
          <w:rFonts w:hint="default" w:ascii="Arial" w:hAnsi="Arial" w:cs="Arial"/>
          <w:sz w:val="24"/>
          <w:szCs w:val="24"/>
        </w:rPr>
      </w:pPr>
      <w:r>
        <w:rPr>
          <w:rFonts w:hint="default" w:ascii="Arial" w:hAnsi="Arial" w:eastAsia="Akzidenz Grotesk Regular" w:cs="Arial"/>
          <w:i w:val="0"/>
          <w:iCs w:val="0"/>
          <w:caps w:val="0"/>
          <w:color w:val="686868"/>
          <w:spacing w:val="0"/>
          <w:sz w:val="24"/>
          <w:szCs w:val="24"/>
        </w:rPr>
        <w:t>The tribunal agreed with the charterers that as a matter of strict construction, clause 35 of the charterparty only related to apportionment and settlement of cargo claims and did not include the provision of security. It did not provide any basis for applying clause (9) of ICA 2011 which dealt with security for claims, and did not incorporate the full text of ICA 2011. Accordingly, clause (9) of ICA 2011 did not apply to the charterparty.</w:t>
      </w:r>
      <w:r>
        <w:rPr>
          <w:rFonts w:hint="default" w:ascii="Arial" w:hAnsi="Arial" w:eastAsia="Akzidenz Grotesk Regular" w:cs="Arial"/>
          <w:i w:val="0"/>
          <w:iCs w:val="0"/>
          <w:caps w:val="0"/>
          <w:color w:val="686868"/>
          <w:spacing w:val="0"/>
          <w:sz w:val="24"/>
          <w:szCs w:val="24"/>
        </w:rPr>
        <w:br w:type="textWrapping"/>
      </w:r>
      <w:r>
        <w:rPr>
          <w:rFonts w:hint="default" w:ascii="Arial" w:hAnsi="Arial" w:eastAsia="Akzidenz Grotesk Regular" w:cs="Arial"/>
          <w:i w:val="0"/>
          <w:iCs w:val="0"/>
          <w:caps w:val="0"/>
          <w:color w:val="686868"/>
          <w:spacing w:val="0"/>
          <w:sz w:val="24"/>
          <w:szCs w:val="24"/>
        </w:rPr>
        <w:t> </w:t>
      </w:r>
      <w:r>
        <w:rPr>
          <w:rFonts w:hint="default" w:ascii="Arial" w:hAnsi="Arial" w:eastAsia="Akzidenz Grotesk Regular" w:cs="Arial"/>
          <w:i w:val="0"/>
          <w:iCs w:val="0"/>
          <w:caps w:val="0"/>
          <w:color w:val="686868"/>
          <w:spacing w:val="0"/>
          <w:sz w:val="24"/>
          <w:szCs w:val="24"/>
        </w:rPr>
        <w:br w:type="textWrapping"/>
      </w:r>
      <w:r>
        <w:rPr>
          <w:rFonts w:hint="default" w:ascii="Arial" w:hAnsi="Arial" w:eastAsia="Akzidenz Grotesk Regular" w:cs="Arial"/>
          <w:i w:val="0"/>
          <w:iCs w:val="0"/>
          <w:caps w:val="0"/>
          <w:color w:val="686868"/>
          <w:spacing w:val="0"/>
          <w:sz w:val="24"/>
          <w:szCs w:val="24"/>
        </w:rPr>
        <w:t>Furthermore, the tribunal accepted the proposition cited in Time Charters that the ICA “was neither designed nor drafted to be incorporated into charters”. Therefore, it could not be assumed that the full terms of the ICA were incorporated into a charterparty without express provision to that effect, which was not the case with clause 35 since it was silent on the matter of security for the claim.</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315" w:lineRule="atLeast"/>
        <w:ind w:left="0" w:right="0"/>
        <w:rPr>
          <w:rFonts w:hint="default" w:ascii="Arial" w:hAnsi="Arial" w:cs="Arial"/>
          <w:sz w:val="24"/>
          <w:szCs w:val="24"/>
        </w:rPr>
      </w:pPr>
      <w:r>
        <w:rPr>
          <w:rStyle w:val="8"/>
          <w:rFonts w:hint="default" w:ascii="Arial" w:hAnsi="Arial" w:eastAsia="Akzidenz Grotesk Regular" w:cs="Arial"/>
          <w:b/>
          <w:bCs/>
          <w:i w:val="0"/>
          <w:iCs w:val="0"/>
          <w:caps w:val="0"/>
          <w:color w:val="686868"/>
          <w:spacing w:val="0"/>
          <w:sz w:val="24"/>
          <w:szCs w:val="24"/>
        </w:rPr>
        <w:t>Comments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315" w:lineRule="atLeast"/>
        <w:ind w:left="0" w:right="0"/>
        <w:rPr>
          <w:rFonts w:hint="default" w:ascii="Arial" w:hAnsi="Arial" w:cs="Arial"/>
          <w:sz w:val="24"/>
          <w:szCs w:val="24"/>
        </w:rPr>
      </w:pPr>
      <w:r>
        <w:rPr>
          <w:rFonts w:hint="default" w:ascii="Arial" w:hAnsi="Arial" w:eastAsia="Akzidenz Grotesk Regular" w:cs="Arial"/>
          <w:i w:val="0"/>
          <w:iCs w:val="0"/>
          <w:caps w:val="0"/>
          <w:color w:val="686868"/>
          <w:spacing w:val="0"/>
          <w:sz w:val="24"/>
          <w:szCs w:val="24"/>
        </w:rPr>
        <w:t>The purpose of the ICA is to provide a relatively simple mechanism for swiftly apportioning liability for cargo claims arising under the New York Produce Exchange Form and Asbatime charterparties. Whilst its aim remains to encourage reasonable settlement and save costs by avoiding expensive legal disputes when dealing with cargo claims, the ICA was revised in 2011 mainly to ensure the parties to a cargo claim would be able to secure themselves against their contractual counterparts without unnecessary difficulty.</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315" w:lineRule="atLeast"/>
        <w:ind w:left="0" w:right="0"/>
        <w:rPr>
          <w:rFonts w:hint="default" w:ascii="Arial" w:hAnsi="Arial" w:cs="Arial"/>
          <w:sz w:val="24"/>
          <w:szCs w:val="24"/>
        </w:rPr>
      </w:pPr>
      <w:r>
        <w:rPr>
          <w:rFonts w:hint="default" w:ascii="Arial" w:hAnsi="Arial" w:eastAsia="Akzidenz Grotesk Regular" w:cs="Arial"/>
          <w:i w:val="0"/>
          <w:iCs w:val="0"/>
          <w:caps w:val="0"/>
          <w:color w:val="686868"/>
          <w:spacing w:val="0"/>
          <w:sz w:val="24"/>
          <w:szCs w:val="24"/>
        </w:rPr>
        <w:t>The tribunal in this case considered that the decision did not undermine the intent of the ICA because the main purpose, swift apportionment of liability for cargo claims, was not affected. This conclusion was reached in arbitration and is therefore not a legally binding precedent. Members are nevertheless recommended to review the  cargo handling clauses in their charterparties carefully, to ensure that ICA 2011 (with its security provisions) are clearly incorporated in its entirety if that is the intention of the parties.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8" w:afterAutospacing="0" w:line="315" w:lineRule="atLeast"/>
        <w:ind w:left="0" w:right="0"/>
        <w:rPr>
          <w:rFonts w:hint="default" w:ascii="Arial" w:hAnsi="Arial" w:cs="Arial"/>
          <w:sz w:val="24"/>
          <w:szCs w:val="24"/>
        </w:rPr>
      </w:pPr>
      <w:r>
        <w:rPr>
          <w:rFonts w:hint="default" w:ascii="Arial" w:hAnsi="Arial" w:eastAsia="Akzidenz Grotesk Regular" w:cs="Arial"/>
          <w:i w:val="0"/>
          <w:iCs w:val="0"/>
          <w:caps w:val="0"/>
          <w:color w:val="686868"/>
          <w:spacing w:val="0"/>
          <w:sz w:val="24"/>
          <w:szCs w:val="24"/>
        </w:rPr>
        <w:t>Owners’ application for leave to appeal was refused by the High Court.</w:t>
      </w:r>
    </w:p>
    <w:p>
      <w:pPr>
        <w:rPr>
          <w:rFonts w:hint="default" w:ascii="Arial" w:hAnsi="Arial" w:cs="Arial"/>
          <w:b w:val="0"/>
          <w:bCs w:val="0"/>
          <w:i w:val="0"/>
          <w:iCs w:val="0"/>
          <w:sz w:val="24"/>
          <w:szCs w:val="24"/>
          <w:u w:val="none"/>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kzidenz Grotesk Regular">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AB17A9"/>
    <w:rsid w:val="40B744F5"/>
    <w:rsid w:val="67AB17A9"/>
    <w:rsid w:val="7A470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character" w:styleId="6">
    <w:name w:val="Hyperlink"/>
    <w:basedOn w:val="3"/>
    <w:qFormat/>
    <w:uiPriority w:val="0"/>
    <w:rPr>
      <w:color w:val="0000FF"/>
      <w:u w:val="single"/>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Office_11.2.0.10101_F1E327BC-269C-435d-A152-05C5408002CA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2021-04-14T15:56:00Z</dcterms:created>
  <dc:creator>Nikolaos Pentheroudakis</dc:creator>
  <cp:lastModifiedBy>Nikolaos Pentheroudakis</cp:lastModifiedBy>
  <dcterms:modified xsi:type="dcterms:W3CDTF">2021-04-20T18:27:16Z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