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91931" w14:textId="77777777" w:rsidR="00650CE3" w:rsidRPr="00650CE3" w:rsidRDefault="00650CE3" w:rsidP="00650CE3">
      <w:pPr>
        <w:rPr>
          <w:b/>
          <w:bCs/>
          <w:lang w:val="en-US"/>
        </w:rPr>
      </w:pPr>
      <w:r w:rsidRPr="00650CE3">
        <w:rPr>
          <w:b/>
          <w:bCs/>
          <w:lang w:val="en-US"/>
        </w:rPr>
        <w:t xml:space="preserve">Value of global dealmaking recovers as firms pursue big transactions after Iran war </w:t>
      </w:r>
    </w:p>
    <w:p w14:paraId="65F817BC" w14:textId="77777777" w:rsidR="00650CE3" w:rsidRPr="00650CE3" w:rsidRDefault="00650CE3" w:rsidP="00650CE3">
      <w:pPr>
        <w:rPr>
          <w:lang w:val="en-US"/>
        </w:rPr>
      </w:pPr>
      <w:r w:rsidRPr="00650CE3">
        <w:rPr>
          <w:lang w:val="en-US"/>
        </w:rPr>
        <w:t>Published on 04/20/2026 at 04:12 am EDT - Modified on 04/20/2026 at 04:17 am EDT</w:t>
      </w:r>
    </w:p>
    <w:p w14:paraId="79B36434" w14:textId="77777777" w:rsidR="00650CE3" w:rsidRPr="00650CE3" w:rsidRDefault="00650CE3" w:rsidP="00650CE3">
      <w:proofErr w:type="spellStart"/>
      <w:r w:rsidRPr="00650CE3">
        <w:t>Reuters</w:t>
      </w:r>
      <w:proofErr w:type="spellEnd"/>
      <w:r w:rsidRPr="00650CE3">
        <w:t xml:space="preserve"> </w:t>
      </w:r>
    </w:p>
    <w:p w14:paraId="52E32123" w14:textId="4BE62C6B" w:rsidR="00650CE3" w:rsidRPr="00650CE3" w:rsidRDefault="00650CE3" w:rsidP="00650CE3">
      <w:r w:rsidRPr="00650CE3">
        <w:drawing>
          <wp:inline distT="0" distB="0" distL="0" distR="0" wp14:anchorId="38A1B9C0" wp14:editId="6F3E80F5">
            <wp:extent cx="5274310" cy="2966720"/>
            <wp:effectExtent l="0" t="0" r="2540" b="5080"/>
            <wp:docPr id="9" name="Picture 9" descr="Value of global dealmaking recovers as firms pursue big transactions after Iran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Value of global dealmaking recovers as firms pursue big transactions after Iran wa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2966720"/>
                    </a:xfrm>
                    <a:prstGeom prst="rect">
                      <a:avLst/>
                    </a:prstGeom>
                    <a:noFill/>
                    <a:ln>
                      <a:noFill/>
                    </a:ln>
                  </pic:spPr>
                </pic:pic>
              </a:graphicData>
            </a:graphic>
          </wp:inline>
        </w:drawing>
      </w:r>
    </w:p>
    <w:p w14:paraId="6E7B22D1" w14:textId="77777777" w:rsidR="00650CE3" w:rsidRPr="00650CE3" w:rsidRDefault="00650CE3" w:rsidP="00650CE3">
      <w:pPr>
        <w:rPr>
          <w:lang w:val="en-US"/>
        </w:rPr>
      </w:pPr>
      <w:r w:rsidRPr="00650CE3">
        <w:rPr>
          <w:lang w:val="en-US"/>
        </w:rPr>
        <w:t>LONDON, April 20 (Reuters) - The value of global dealmaking has rebounded after a sharp slump in the weeks after the start of the war in Iran, as companies and investors shrug off volatility and press ahead with larger deals.</w:t>
      </w:r>
    </w:p>
    <w:p w14:paraId="04F39A60" w14:textId="77777777" w:rsidR="00650CE3" w:rsidRPr="00650CE3" w:rsidRDefault="00650CE3" w:rsidP="00650CE3">
      <w:pPr>
        <w:rPr>
          <w:lang w:val="en-US"/>
        </w:rPr>
      </w:pPr>
      <w:r w:rsidRPr="00650CE3">
        <w:rPr>
          <w:lang w:val="en-US"/>
        </w:rPr>
        <w:t>The value of deals announced globally in the second week of March fell to around $39 billion as the U.S. and Israel's strikes on Iran roiled markets. It was the lowest weekly level since the wake of the "Liberation Day" announcement of sweeping U.S. tariffs last April, according to LSEG data.</w:t>
      </w:r>
    </w:p>
    <w:p w14:paraId="1075FE77" w14:textId="77777777" w:rsidR="00650CE3" w:rsidRPr="00650CE3" w:rsidRDefault="00650CE3" w:rsidP="00650CE3">
      <w:pPr>
        <w:rPr>
          <w:lang w:val="en-US"/>
        </w:rPr>
      </w:pPr>
      <w:r w:rsidRPr="00650CE3">
        <w:rPr>
          <w:lang w:val="en-US"/>
        </w:rPr>
        <w:t>However, the value of global deals has since rebounded on the back of a series of large transactions, including Pershing Square's $68 billion proposed bid for Universal Music Group and McCormick &amp; Co's $45 billion merger with Unilever's food portfolio.</w:t>
      </w:r>
    </w:p>
    <w:p w14:paraId="19AFC771" w14:textId="77777777" w:rsidR="00650CE3" w:rsidRPr="00650CE3" w:rsidRDefault="00650CE3" w:rsidP="00650CE3">
      <w:pPr>
        <w:rPr>
          <w:lang w:val="en-US"/>
        </w:rPr>
      </w:pPr>
      <w:r w:rsidRPr="00650CE3">
        <w:rPr>
          <w:lang w:val="en-US"/>
        </w:rPr>
        <w:t>In the four weeks from March 15, the average weekly value of global mergers and acquisitions rose to around $117 billion, eclipsing the about $93 billion weekly run-rate seen through January and February, according to the data.</w:t>
      </w:r>
    </w:p>
    <w:p w14:paraId="0782F3F9" w14:textId="77777777" w:rsidR="00650CE3" w:rsidRPr="00650CE3" w:rsidRDefault="00650CE3" w:rsidP="00650CE3">
      <w:pPr>
        <w:rPr>
          <w:lang w:val="en-US"/>
        </w:rPr>
      </w:pPr>
      <w:r w:rsidRPr="00650CE3">
        <w:rPr>
          <w:lang w:val="en-US"/>
        </w:rPr>
        <w:t xml:space="preserve">"CEO confidence has dropped a bit but the significance and the logic of those corporate transactions remains," said Guillermo Baygual, global co-head of M&amp;A at Citi. </w:t>
      </w:r>
    </w:p>
    <w:p w14:paraId="45D65A98" w14:textId="77777777" w:rsidR="00650CE3" w:rsidRPr="00650CE3" w:rsidRDefault="00650CE3" w:rsidP="00650CE3">
      <w:pPr>
        <w:rPr>
          <w:lang w:val="en-US"/>
        </w:rPr>
      </w:pPr>
      <w:r w:rsidRPr="00650CE3">
        <w:rPr>
          <w:lang w:val="en-US"/>
        </w:rPr>
        <w:lastRenderedPageBreak/>
        <w:t>"The geopolitical dynamics, if anything, can add some uncertainty short term but in the long term they justify even more some of these needs to gain scale, to gain cost efficiency and capacity to finance the capex needs that are going to be almost imperative and to deliver further growth."</w:t>
      </w:r>
    </w:p>
    <w:p w14:paraId="4B5E4977" w14:textId="77777777" w:rsidR="00650CE3" w:rsidRPr="00650CE3" w:rsidRDefault="00650CE3" w:rsidP="00650CE3">
      <w:pPr>
        <w:rPr>
          <w:lang w:val="en-US"/>
        </w:rPr>
      </w:pPr>
      <w:r w:rsidRPr="00650CE3">
        <w:rPr>
          <w:lang w:val="en-US"/>
        </w:rPr>
        <w:t>Some regions have been more affected by the turmoil. M&amp;A involving a target in the Gulf totalled nearly $15 billion so far during 2026, down 65% from last year at this time despite a 5% increase in the number of deal announcements.</w:t>
      </w:r>
    </w:p>
    <w:p w14:paraId="7B3548AC" w14:textId="77777777" w:rsidR="00650CE3" w:rsidRPr="00650CE3" w:rsidRDefault="00650CE3" w:rsidP="00650CE3">
      <w:pPr>
        <w:rPr>
          <w:lang w:val="en-US"/>
        </w:rPr>
      </w:pPr>
      <w:r w:rsidRPr="00650CE3">
        <w:rPr>
          <w:lang w:val="en-US"/>
        </w:rPr>
        <w:t xml:space="preserve">LSEG totalled 70 deals were announced in the Gulf in February, a monthly deal </w:t>
      </w:r>
      <w:proofErr w:type="gramStart"/>
      <w:r w:rsidRPr="00650CE3">
        <w:rPr>
          <w:lang w:val="en-US"/>
        </w:rPr>
        <w:t>count</w:t>
      </w:r>
      <w:proofErr w:type="gramEnd"/>
      <w:r w:rsidRPr="00650CE3">
        <w:rPr>
          <w:lang w:val="en-US"/>
        </w:rPr>
        <w:t xml:space="preserve"> only exceeded once in the region in the last five years. However, in March, after the conflict began, just 37 deals were announced, the lowest monthly total since August 2025. </w:t>
      </w:r>
    </w:p>
    <w:p w14:paraId="4631E4A5" w14:textId="77777777" w:rsidR="00650CE3" w:rsidRPr="00650CE3" w:rsidRDefault="00650CE3" w:rsidP="00650CE3">
      <w:pPr>
        <w:rPr>
          <w:lang w:val="en-US"/>
        </w:rPr>
      </w:pPr>
      <w:r w:rsidRPr="00650CE3">
        <w:rPr>
          <w:lang w:val="en-US"/>
        </w:rPr>
        <w:t>Gulf entities have been buyers, though. Acquisition values where a Gulf entity is the buyer in mergers and acquisitions was valued at US$17.1 billion in the six weeks since the Iran war began on February 28. That figure is 244% higher than the haul from the six weeks prior to the start of the conflict, but down 21% from the same period in 2025, according to LSEG.</w:t>
      </w:r>
    </w:p>
    <w:p w14:paraId="031D7905" w14:textId="77777777" w:rsidR="00650CE3" w:rsidRPr="00650CE3" w:rsidRDefault="00650CE3" w:rsidP="00650CE3">
      <w:pPr>
        <w:rPr>
          <w:lang w:val="en-US"/>
        </w:rPr>
      </w:pPr>
      <w:r w:rsidRPr="00650CE3">
        <w:rPr>
          <w:lang w:val="en-US"/>
        </w:rPr>
        <w:t xml:space="preserve">While the number of deals has fallen globally, companies are still pursuing large and transformative transactions. </w:t>
      </w:r>
    </w:p>
    <w:p w14:paraId="1CB85796" w14:textId="77777777" w:rsidR="00650CE3" w:rsidRPr="00650CE3" w:rsidRDefault="00650CE3" w:rsidP="00650CE3">
      <w:pPr>
        <w:rPr>
          <w:lang w:val="en-US"/>
        </w:rPr>
      </w:pPr>
      <w:r w:rsidRPr="00650CE3">
        <w:rPr>
          <w:lang w:val="en-US"/>
        </w:rPr>
        <w:t xml:space="preserve">Smaller deals have fallen in number, potentially impacted by the effects of geopolitics and the macroeconomic backdrop, said Nimesh Khiroya, co-head of M&amp;A in Europe, Middle East and Africa at Goldman Sachs. He suggested the rebound was driven by larger deals already long in the works. </w:t>
      </w:r>
    </w:p>
    <w:p w14:paraId="6704D3C2" w14:textId="77777777" w:rsidR="00650CE3" w:rsidRPr="00650CE3" w:rsidRDefault="00650CE3" w:rsidP="00650CE3">
      <w:pPr>
        <w:rPr>
          <w:lang w:val="en-US"/>
        </w:rPr>
      </w:pPr>
      <w:r w:rsidRPr="00650CE3">
        <w:rPr>
          <w:lang w:val="en-US"/>
        </w:rPr>
        <w:t xml:space="preserve">"Large deals would have been in development for a period of time and are not a response to the Middle East conflict," Khiroya added. </w:t>
      </w:r>
    </w:p>
    <w:p w14:paraId="3F3CA825" w14:textId="77777777" w:rsidR="00650CE3" w:rsidRPr="00650CE3" w:rsidRDefault="00650CE3" w:rsidP="00650CE3">
      <w:pPr>
        <w:rPr>
          <w:lang w:val="en-US"/>
        </w:rPr>
      </w:pPr>
      <w:r w:rsidRPr="00650CE3">
        <w:rPr>
          <w:lang w:val="en-US"/>
        </w:rPr>
        <w:t>The pace of equity capital markets (ECM) dealmaking has slowed after a bumper two weeks immediately after the start of the conflict in which nearly $50 billion worth of transactions were struck globally, LSEG data showed. Global ECM reached $215 billion in the year to April 14, up 37% over the same period last year.</w:t>
      </w:r>
    </w:p>
    <w:p w14:paraId="150B7826" w14:textId="77777777" w:rsidR="00650CE3" w:rsidRPr="00650CE3" w:rsidRDefault="00650CE3" w:rsidP="00650CE3">
      <w:pPr>
        <w:rPr>
          <w:lang w:val="en-US"/>
        </w:rPr>
      </w:pPr>
      <w:r w:rsidRPr="00650CE3">
        <w:rPr>
          <w:lang w:val="en-US"/>
        </w:rPr>
        <w:t>The week immediately after the attacks was the busiest so far this year in terms of capital raised, according to the data, as some firms and their shareholders tapped equity investors before markets potentially soured further and hampered their ability to raise capital, three equity advisers told Reuters previously.</w:t>
      </w:r>
    </w:p>
    <w:p w14:paraId="740D0213" w14:textId="77777777" w:rsidR="00650CE3" w:rsidRPr="00650CE3" w:rsidRDefault="00650CE3" w:rsidP="00650CE3">
      <w:pPr>
        <w:rPr>
          <w:lang w:val="en-US"/>
        </w:rPr>
      </w:pPr>
      <w:r w:rsidRPr="00650CE3">
        <w:rPr>
          <w:lang w:val="en-US"/>
        </w:rPr>
        <w:t xml:space="preserve">In the four weeks from the 15th of March, the average weekly value of global ECM deals came to around $11 billion, according to the data, down from $13 billion in January and $18 billion in February. Deal value has fallen in part due to a </w:t>
      </w:r>
      <w:r w:rsidRPr="00650CE3">
        <w:rPr>
          <w:lang w:val="en-US"/>
        </w:rPr>
        <w:lastRenderedPageBreak/>
        <w:t xml:space="preserve">slowdown in new share issuance sparked by the war and a typically quieter period as companies report financial results, one adviser told Reuters. </w:t>
      </w:r>
    </w:p>
    <w:p w14:paraId="32157C8D" w14:textId="77777777" w:rsidR="00650CE3" w:rsidRPr="00650CE3" w:rsidRDefault="00650CE3" w:rsidP="00650CE3">
      <w:pPr>
        <w:rPr>
          <w:lang w:val="en-US"/>
        </w:rPr>
      </w:pPr>
      <w:r w:rsidRPr="00650CE3">
        <w:rPr>
          <w:lang w:val="en-US"/>
        </w:rPr>
        <w:t>Market conditions suggest the potential for more dealmaking to return is there. The CBOE Volatility Index, the closely watched gauge of investor anxiety, spiked after the conflict broke out in late February but has since cooled to below 20 in April. The index, often referred to as Wall Street's "fear gauge," is considered to signal stable and less stressful market conditions when it trades below that 20 level, dealmakers say.</w:t>
      </w:r>
    </w:p>
    <w:p w14:paraId="7D580B8E" w14:textId="77777777" w:rsidR="00650CE3" w:rsidRPr="00650CE3" w:rsidRDefault="00650CE3" w:rsidP="00650CE3">
      <w:pPr>
        <w:rPr>
          <w:lang w:val="en-US"/>
        </w:rPr>
      </w:pPr>
      <w:r w:rsidRPr="00650CE3">
        <w:rPr>
          <w:lang w:val="en-US"/>
        </w:rPr>
        <w:t>"Volatility has affected timing in some cases, but it has not fundamentally altered strategic intent, particularly for large, well-financed transactions," Philipp Beck, EMEA head of M&amp;A at UBS, said.</w:t>
      </w:r>
    </w:p>
    <w:p w14:paraId="35C03ABA" w14:textId="77777777" w:rsidR="00650CE3" w:rsidRPr="00650CE3" w:rsidRDefault="00650CE3" w:rsidP="00650CE3">
      <w:pPr>
        <w:rPr>
          <w:lang w:val="en-US"/>
        </w:rPr>
      </w:pPr>
      <w:r w:rsidRPr="00650CE3">
        <w:rPr>
          <w:lang w:val="en-US"/>
        </w:rPr>
        <w:t xml:space="preserve">The long-term impact is yet to be seen after the IMF warned this week that the global economy would teeter on the brink of recession if the conflict worsens. </w:t>
      </w:r>
    </w:p>
    <w:p w14:paraId="2A99BA07" w14:textId="77777777" w:rsidR="00650CE3" w:rsidRPr="00650CE3" w:rsidRDefault="00650CE3" w:rsidP="00650CE3">
      <w:pPr>
        <w:rPr>
          <w:lang w:val="en-US"/>
        </w:rPr>
      </w:pPr>
      <w:r w:rsidRPr="00650CE3">
        <w:rPr>
          <w:lang w:val="en-US"/>
        </w:rPr>
        <w:t>"If we get into a recessionary environment, people will need to run more scenarios, and that may delay a little bit some transactions," said Baygual at Citi. "But equally, I can see how the next three years are going to be years of very strong activity, as the fundamentals driving M&amp;A since last year remain."</w:t>
      </w:r>
    </w:p>
    <w:p w14:paraId="66826AD1" w14:textId="77777777" w:rsidR="00650CE3" w:rsidRPr="00650CE3" w:rsidRDefault="00650CE3" w:rsidP="00650CE3">
      <w:pPr>
        <w:rPr>
          <w:lang w:val="en-US"/>
        </w:rPr>
      </w:pPr>
      <w:r w:rsidRPr="00650CE3">
        <w:rPr>
          <w:lang w:val="en-US"/>
        </w:rPr>
        <w:t>(Reporting by Charlie Conchie and Andres Gonzalez in London; Editing by Anousha Sakoui and Susan Fenton)</w:t>
      </w:r>
    </w:p>
    <w:p w14:paraId="3448D0AF" w14:textId="56B5085D" w:rsidR="00650CE3" w:rsidRPr="00650CE3" w:rsidRDefault="00650CE3" w:rsidP="00650CE3">
      <w:r w:rsidRPr="00650CE3">
        <w:drawing>
          <wp:inline distT="0" distB="0" distL="0" distR="0" wp14:anchorId="2F5FC082" wp14:editId="4D9E8DDC">
            <wp:extent cx="1552575" cy="371475"/>
            <wp:effectExtent l="0" t="0" r="9525" b="9525"/>
            <wp:docPr id="8" name="Picture 8" descr="Reu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uters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2575" cy="371475"/>
                    </a:xfrm>
                    <a:prstGeom prst="rect">
                      <a:avLst/>
                    </a:prstGeom>
                    <a:noFill/>
                    <a:ln>
                      <a:noFill/>
                    </a:ln>
                  </pic:spPr>
                </pic:pic>
              </a:graphicData>
            </a:graphic>
          </wp:inline>
        </w:drawing>
      </w:r>
    </w:p>
    <w:p w14:paraId="687A8D9B" w14:textId="77777777" w:rsidR="00650CE3" w:rsidRPr="00650CE3" w:rsidRDefault="00650CE3" w:rsidP="00650CE3">
      <w:r w:rsidRPr="00650CE3">
        <w:t xml:space="preserve">© </w:t>
      </w:r>
      <w:proofErr w:type="spellStart"/>
      <w:r w:rsidRPr="00650CE3">
        <w:t>Reuters</w:t>
      </w:r>
      <w:proofErr w:type="spellEnd"/>
      <w:r w:rsidRPr="00650CE3">
        <w:t xml:space="preserve"> - 2026 </w:t>
      </w:r>
    </w:p>
    <w:p w14:paraId="4862F6C6" w14:textId="77777777" w:rsidR="001764BE" w:rsidRDefault="001764BE"/>
    <w:sectPr w:rsidR="001764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CE3"/>
    <w:rsid w:val="001764BE"/>
    <w:rsid w:val="005D718F"/>
    <w:rsid w:val="00650CE3"/>
    <w:rsid w:val="00BC6112"/>
    <w:rsid w:val="00E841AE"/>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834E"/>
  <w15:chartTrackingRefBased/>
  <w15:docId w15:val="{EC1B1A7F-9B52-49E4-A9C4-D8872C87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C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C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C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C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C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C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C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C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C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C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C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C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CE3"/>
    <w:rPr>
      <w:rFonts w:eastAsiaTheme="majorEastAsia" w:cstheme="majorBidi"/>
      <w:color w:val="272727" w:themeColor="text1" w:themeTint="D8"/>
    </w:rPr>
  </w:style>
  <w:style w:type="paragraph" w:styleId="Title">
    <w:name w:val="Title"/>
    <w:basedOn w:val="Normal"/>
    <w:next w:val="Normal"/>
    <w:link w:val="TitleChar"/>
    <w:uiPriority w:val="10"/>
    <w:qFormat/>
    <w:rsid w:val="00650C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C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CE3"/>
    <w:pPr>
      <w:spacing w:before="160"/>
      <w:jc w:val="center"/>
    </w:pPr>
    <w:rPr>
      <w:i/>
      <w:iCs/>
      <w:color w:val="404040" w:themeColor="text1" w:themeTint="BF"/>
    </w:rPr>
  </w:style>
  <w:style w:type="character" w:customStyle="1" w:styleId="QuoteChar">
    <w:name w:val="Quote Char"/>
    <w:basedOn w:val="DefaultParagraphFont"/>
    <w:link w:val="Quote"/>
    <w:uiPriority w:val="29"/>
    <w:rsid w:val="00650CE3"/>
    <w:rPr>
      <w:i/>
      <w:iCs/>
      <w:color w:val="404040" w:themeColor="text1" w:themeTint="BF"/>
    </w:rPr>
  </w:style>
  <w:style w:type="paragraph" w:styleId="ListParagraph">
    <w:name w:val="List Paragraph"/>
    <w:basedOn w:val="Normal"/>
    <w:uiPriority w:val="34"/>
    <w:qFormat/>
    <w:rsid w:val="00650CE3"/>
    <w:pPr>
      <w:ind w:left="720"/>
      <w:contextualSpacing/>
    </w:pPr>
  </w:style>
  <w:style w:type="character" w:styleId="IntenseEmphasis">
    <w:name w:val="Intense Emphasis"/>
    <w:basedOn w:val="DefaultParagraphFont"/>
    <w:uiPriority w:val="21"/>
    <w:qFormat/>
    <w:rsid w:val="00650CE3"/>
    <w:rPr>
      <w:i/>
      <w:iCs/>
      <w:color w:val="0F4761" w:themeColor="accent1" w:themeShade="BF"/>
    </w:rPr>
  </w:style>
  <w:style w:type="paragraph" w:styleId="IntenseQuote">
    <w:name w:val="Intense Quote"/>
    <w:basedOn w:val="Normal"/>
    <w:next w:val="Normal"/>
    <w:link w:val="IntenseQuoteChar"/>
    <w:uiPriority w:val="30"/>
    <w:qFormat/>
    <w:rsid w:val="00650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CE3"/>
    <w:rPr>
      <w:i/>
      <w:iCs/>
      <w:color w:val="0F4761" w:themeColor="accent1" w:themeShade="BF"/>
    </w:rPr>
  </w:style>
  <w:style w:type="character" w:styleId="IntenseReference">
    <w:name w:val="Intense Reference"/>
    <w:basedOn w:val="DefaultParagraphFont"/>
    <w:uiPriority w:val="32"/>
    <w:qFormat/>
    <w:rsid w:val="00650CE3"/>
    <w:rPr>
      <w:b/>
      <w:bCs/>
      <w:smallCaps/>
      <w:color w:val="0F4761" w:themeColor="accent1" w:themeShade="BF"/>
      <w:spacing w:val="5"/>
    </w:rPr>
  </w:style>
  <w:style w:type="character" w:styleId="Hyperlink">
    <w:name w:val="Hyperlink"/>
    <w:basedOn w:val="DefaultParagraphFont"/>
    <w:uiPriority w:val="99"/>
    <w:unhideWhenUsed/>
    <w:rsid w:val="00650CE3"/>
    <w:rPr>
      <w:color w:val="467886" w:themeColor="hyperlink"/>
      <w:u w:val="single"/>
    </w:rPr>
  </w:style>
  <w:style w:type="character" w:styleId="UnresolvedMention">
    <w:name w:val="Unresolved Mention"/>
    <w:basedOn w:val="DefaultParagraphFont"/>
    <w:uiPriority w:val="99"/>
    <w:semiHidden/>
    <w:unhideWhenUsed/>
    <w:rsid w:val="00650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010466">
      <w:bodyDiv w:val="1"/>
      <w:marLeft w:val="0"/>
      <w:marRight w:val="0"/>
      <w:marTop w:val="0"/>
      <w:marBottom w:val="0"/>
      <w:divBdr>
        <w:top w:val="none" w:sz="0" w:space="0" w:color="auto"/>
        <w:left w:val="none" w:sz="0" w:space="0" w:color="auto"/>
        <w:bottom w:val="none" w:sz="0" w:space="0" w:color="auto"/>
        <w:right w:val="none" w:sz="0" w:space="0" w:color="auto"/>
      </w:divBdr>
      <w:divsChild>
        <w:div w:id="1658610039">
          <w:marLeft w:val="0"/>
          <w:marRight w:val="0"/>
          <w:marTop w:val="0"/>
          <w:marBottom w:val="0"/>
          <w:divBdr>
            <w:top w:val="none" w:sz="0" w:space="0" w:color="auto"/>
            <w:left w:val="none" w:sz="0" w:space="0" w:color="auto"/>
            <w:bottom w:val="none" w:sz="0" w:space="0" w:color="auto"/>
            <w:right w:val="none" w:sz="0" w:space="0" w:color="auto"/>
          </w:divBdr>
          <w:divsChild>
            <w:div w:id="2056006216">
              <w:marLeft w:val="0"/>
              <w:marRight w:val="0"/>
              <w:marTop w:val="0"/>
              <w:marBottom w:val="0"/>
              <w:divBdr>
                <w:top w:val="none" w:sz="0" w:space="0" w:color="auto"/>
                <w:left w:val="none" w:sz="0" w:space="0" w:color="auto"/>
                <w:bottom w:val="none" w:sz="0" w:space="0" w:color="auto"/>
                <w:right w:val="none" w:sz="0" w:space="0" w:color="auto"/>
              </w:divBdr>
              <w:divsChild>
                <w:div w:id="1698386296">
                  <w:marLeft w:val="0"/>
                  <w:marRight w:val="0"/>
                  <w:marTop w:val="0"/>
                  <w:marBottom w:val="0"/>
                  <w:divBdr>
                    <w:top w:val="none" w:sz="0" w:space="0" w:color="auto"/>
                    <w:left w:val="none" w:sz="0" w:space="0" w:color="auto"/>
                    <w:bottom w:val="none" w:sz="0" w:space="0" w:color="auto"/>
                    <w:right w:val="none" w:sz="0" w:space="0" w:color="auto"/>
                  </w:divBdr>
                  <w:divsChild>
                    <w:div w:id="202809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4511">
              <w:marLeft w:val="0"/>
              <w:marRight w:val="0"/>
              <w:marTop w:val="0"/>
              <w:marBottom w:val="0"/>
              <w:divBdr>
                <w:top w:val="none" w:sz="0" w:space="0" w:color="auto"/>
                <w:left w:val="none" w:sz="0" w:space="0" w:color="auto"/>
                <w:bottom w:val="none" w:sz="0" w:space="0" w:color="auto"/>
                <w:right w:val="none" w:sz="0" w:space="0" w:color="auto"/>
              </w:divBdr>
              <w:divsChild>
                <w:div w:id="47749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4608">
          <w:marLeft w:val="0"/>
          <w:marRight w:val="0"/>
          <w:marTop w:val="0"/>
          <w:marBottom w:val="0"/>
          <w:divBdr>
            <w:top w:val="none" w:sz="0" w:space="0" w:color="auto"/>
            <w:left w:val="none" w:sz="0" w:space="0" w:color="auto"/>
            <w:bottom w:val="none" w:sz="0" w:space="0" w:color="auto"/>
            <w:right w:val="none" w:sz="0" w:space="0" w:color="auto"/>
          </w:divBdr>
          <w:divsChild>
            <w:div w:id="872228241">
              <w:marLeft w:val="0"/>
              <w:marRight w:val="0"/>
              <w:marTop w:val="0"/>
              <w:marBottom w:val="0"/>
              <w:divBdr>
                <w:top w:val="none" w:sz="0" w:space="0" w:color="auto"/>
                <w:left w:val="none" w:sz="0" w:space="0" w:color="auto"/>
                <w:bottom w:val="none" w:sz="0" w:space="0" w:color="auto"/>
                <w:right w:val="none" w:sz="0" w:space="0" w:color="auto"/>
              </w:divBdr>
              <w:divsChild>
                <w:div w:id="941180030">
                  <w:marLeft w:val="0"/>
                  <w:marRight w:val="0"/>
                  <w:marTop w:val="0"/>
                  <w:marBottom w:val="0"/>
                  <w:divBdr>
                    <w:top w:val="none" w:sz="0" w:space="0" w:color="auto"/>
                    <w:left w:val="none" w:sz="0" w:space="0" w:color="auto"/>
                    <w:bottom w:val="none" w:sz="0" w:space="0" w:color="auto"/>
                    <w:right w:val="none" w:sz="0" w:space="0" w:color="auto"/>
                  </w:divBdr>
                  <w:divsChild>
                    <w:div w:id="1212956051">
                      <w:marLeft w:val="0"/>
                      <w:marRight w:val="0"/>
                      <w:marTop w:val="0"/>
                      <w:marBottom w:val="0"/>
                      <w:divBdr>
                        <w:top w:val="none" w:sz="0" w:space="0" w:color="auto"/>
                        <w:left w:val="none" w:sz="0" w:space="0" w:color="auto"/>
                        <w:bottom w:val="none" w:sz="0" w:space="0" w:color="auto"/>
                        <w:right w:val="none" w:sz="0" w:space="0" w:color="auto"/>
                      </w:divBdr>
                    </w:div>
                    <w:div w:id="116825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78688">
              <w:marLeft w:val="0"/>
              <w:marRight w:val="0"/>
              <w:marTop w:val="0"/>
              <w:marBottom w:val="0"/>
              <w:divBdr>
                <w:top w:val="none" w:sz="0" w:space="0" w:color="auto"/>
                <w:left w:val="none" w:sz="0" w:space="0" w:color="auto"/>
                <w:bottom w:val="none" w:sz="0" w:space="0" w:color="auto"/>
                <w:right w:val="none" w:sz="0" w:space="0" w:color="auto"/>
              </w:divBdr>
              <w:divsChild>
                <w:div w:id="960460546">
                  <w:marLeft w:val="0"/>
                  <w:marRight w:val="0"/>
                  <w:marTop w:val="0"/>
                  <w:marBottom w:val="0"/>
                  <w:divBdr>
                    <w:top w:val="none" w:sz="0" w:space="0" w:color="auto"/>
                    <w:left w:val="none" w:sz="0" w:space="0" w:color="auto"/>
                    <w:bottom w:val="none" w:sz="0" w:space="0" w:color="auto"/>
                    <w:right w:val="none" w:sz="0" w:space="0" w:color="auto"/>
                  </w:divBdr>
                  <w:divsChild>
                    <w:div w:id="1125196982">
                      <w:marLeft w:val="0"/>
                      <w:marRight w:val="0"/>
                      <w:marTop w:val="0"/>
                      <w:marBottom w:val="0"/>
                      <w:divBdr>
                        <w:top w:val="none" w:sz="0" w:space="0" w:color="auto"/>
                        <w:left w:val="none" w:sz="0" w:space="0" w:color="auto"/>
                        <w:bottom w:val="none" w:sz="0" w:space="0" w:color="auto"/>
                        <w:right w:val="none" w:sz="0" w:space="0" w:color="auto"/>
                      </w:divBdr>
                    </w:div>
                    <w:div w:id="15725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4142">
              <w:marLeft w:val="0"/>
              <w:marRight w:val="0"/>
              <w:marTop w:val="0"/>
              <w:marBottom w:val="0"/>
              <w:divBdr>
                <w:top w:val="none" w:sz="0" w:space="0" w:color="auto"/>
                <w:left w:val="none" w:sz="0" w:space="0" w:color="auto"/>
                <w:bottom w:val="none" w:sz="0" w:space="0" w:color="auto"/>
                <w:right w:val="none" w:sz="0" w:space="0" w:color="auto"/>
              </w:divBdr>
              <w:divsChild>
                <w:div w:id="1396708334">
                  <w:marLeft w:val="0"/>
                  <w:marRight w:val="0"/>
                  <w:marTop w:val="0"/>
                  <w:marBottom w:val="0"/>
                  <w:divBdr>
                    <w:top w:val="none" w:sz="0" w:space="0" w:color="auto"/>
                    <w:left w:val="none" w:sz="0" w:space="0" w:color="auto"/>
                    <w:bottom w:val="none" w:sz="0" w:space="0" w:color="auto"/>
                    <w:right w:val="none" w:sz="0" w:space="0" w:color="auto"/>
                  </w:divBdr>
                  <w:divsChild>
                    <w:div w:id="836266418">
                      <w:marLeft w:val="0"/>
                      <w:marRight w:val="0"/>
                      <w:marTop w:val="0"/>
                      <w:marBottom w:val="0"/>
                      <w:divBdr>
                        <w:top w:val="none" w:sz="0" w:space="0" w:color="auto"/>
                        <w:left w:val="none" w:sz="0" w:space="0" w:color="auto"/>
                        <w:bottom w:val="none" w:sz="0" w:space="0" w:color="auto"/>
                        <w:right w:val="none" w:sz="0" w:space="0" w:color="auto"/>
                      </w:divBdr>
                    </w:div>
                    <w:div w:id="212195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5185">
              <w:marLeft w:val="0"/>
              <w:marRight w:val="0"/>
              <w:marTop w:val="0"/>
              <w:marBottom w:val="0"/>
              <w:divBdr>
                <w:top w:val="none" w:sz="0" w:space="0" w:color="auto"/>
                <w:left w:val="none" w:sz="0" w:space="0" w:color="auto"/>
                <w:bottom w:val="none" w:sz="0" w:space="0" w:color="auto"/>
                <w:right w:val="none" w:sz="0" w:space="0" w:color="auto"/>
              </w:divBdr>
              <w:divsChild>
                <w:div w:id="231699431">
                  <w:marLeft w:val="0"/>
                  <w:marRight w:val="0"/>
                  <w:marTop w:val="0"/>
                  <w:marBottom w:val="0"/>
                  <w:divBdr>
                    <w:top w:val="none" w:sz="0" w:space="0" w:color="auto"/>
                    <w:left w:val="none" w:sz="0" w:space="0" w:color="auto"/>
                    <w:bottom w:val="none" w:sz="0" w:space="0" w:color="auto"/>
                    <w:right w:val="none" w:sz="0" w:space="0" w:color="auto"/>
                  </w:divBdr>
                  <w:divsChild>
                    <w:div w:id="1555776757">
                      <w:marLeft w:val="0"/>
                      <w:marRight w:val="0"/>
                      <w:marTop w:val="0"/>
                      <w:marBottom w:val="0"/>
                      <w:divBdr>
                        <w:top w:val="none" w:sz="0" w:space="0" w:color="auto"/>
                        <w:left w:val="none" w:sz="0" w:space="0" w:color="auto"/>
                        <w:bottom w:val="none" w:sz="0" w:space="0" w:color="auto"/>
                        <w:right w:val="none" w:sz="0" w:space="0" w:color="auto"/>
                      </w:divBdr>
                    </w:div>
                    <w:div w:id="202447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11828">
              <w:marLeft w:val="0"/>
              <w:marRight w:val="0"/>
              <w:marTop w:val="0"/>
              <w:marBottom w:val="0"/>
              <w:divBdr>
                <w:top w:val="none" w:sz="0" w:space="0" w:color="auto"/>
                <w:left w:val="none" w:sz="0" w:space="0" w:color="auto"/>
                <w:bottom w:val="none" w:sz="0" w:space="0" w:color="auto"/>
                <w:right w:val="none" w:sz="0" w:space="0" w:color="auto"/>
              </w:divBdr>
              <w:divsChild>
                <w:div w:id="284579495">
                  <w:marLeft w:val="0"/>
                  <w:marRight w:val="0"/>
                  <w:marTop w:val="0"/>
                  <w:marBottom w:val="0"/>
                  <w:divBdr>
                    <w:top w:val="none" w:sz="0" w:space="0" w:color="auto"/>
                    <w:left w:val="none" w:sz="0" w:space="0" w:color="auto"/>
                    <w:bottom w:val="none" w:sz="0" w:space="0" w:color="auto"/>
                    <w:right w:val="none" w:sz="0" w:space="0" w:color="auto"/>
                  </w:divBdr>
                  <w:divsChild>
                    <w:div w:id="159739106">
                      <w:marLeft w:val="0"/>
                      <w:marRight w:val="0"/>
                      <w:marTop w:val="0"/>
                      <w:marBottom w:val="0"/>
                      <w:divBdr>
                        <w:top w:val="none" w:sz="0" w:space="0" w:color="auto"/>
                        <w:left w:val="none" w:sz="0" w:space="0" w:color="auto"/>
                        <w:bottom w:val="none" w:sz="0" w:space="0" w:color="auto"/>
                        <w:right w:val="none" w:sz="0" w:space="0" w:color="auto"/>
                      </w:divBdr>
                    </w:div>
                    <w:div w:id="95625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23168">
          <w:marLeft w:val="0"/>
          <w:marRight w:val="0"/>
          <w:marTop w:val="0"/>
          <w:marBottom w:val="0"/>
          <w:divBdr>
            <w:top w:val="none" w:sz="0" w:space="0" w:color="auto"/>
            <w:left w:val="none" w:sz="0" w:space="0" w:color="auto"/>
            <w:bottom w:val="none" w:sz="0" w:space="0" w:color="auto"/>
            <w:right w:val="none" w:sz="0" w:space="0" w:color="auto"/>
          </w:divBdr>
        </w:div>
        <w:div w:id="1029070366">
          <w:marLeft w:val="0"/>
          <w:marRight w:val="0"/>
          <w:marTop w:val="0"/>
          <w:marBottom w:val="0"/>
          <w:divBdr>
            <w:top w:val="none" w:sz="0" w:space="0" w:color="auto"/>
            <w:left w:val="none" w:sz="0" w:space="0" w:color="auto"/>
            <w:bottom w:val="none" w:sz="0" w:space="0" w:color="auto"/>
            <w:right w:val="none" w:sz="0" w:space="0" w:color="auto"/>
          </w:divBdr>
        </w:div>
        <w:div w:id="1189292381">
          <w:marLeft w:val="0"/>
          <w:marRight w:val="0"/>
          <w:marTop w:val="0"/>
          <w:marBottom w:val="0"/>
          <w:divBdr>
            <w:top w:val="none" w:sz="0" w:space="0" w:color="auto"/>
            <w:left w:val="none" w:sz="0" w:space="0" w:color="auto"/>
            <w:bottom w:val="none" w:sz="0" w:space="0" w:color="auto"/>
            <w:right w:val="none" w:sz="0" w:space="0" w:color="auto"/>
          </w:divBdr>
          <w:divsChild>
            <w:div w:id="711198422">
              <w:marLeft w:val="0"/>
              <w:marRight w:val="0"/>
              <w:marTop w:val="0"/>
              <w:marBottom w:val="0"/>
              <w:divBdr>
                <w:top w:val="none" w:sz="0" w:space="0" w:color="auto"/>
                <w:left w:val="none" w:sz="0" w:space="0" w:color="auto"/>
                <w:bottom w:val="none" w:sz="0" w:space="0" w:color="auto"/>
                <w:right w:val="none" w:sz="0" w:space="0" w:color="auto"/>
              </w:divBdr>
              <w:divsChild>
                <w:div w:id="15399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38378">
      <w:bodyDiv w:val="1"/>
      <w:marLeft w:val="0"/>
      <w:marRight w:val="0"/>
      <w:marTop w:val="0"/>
      <w:marBottom w:val="0"/>
      <w:divBdr>
        <w:top w:val="none" w:sz="0" w:space="0" w:color="auto"/>
        <w:left w:val="none" w:sz="0" w:space="0" w:color="auto"/>
        <w:bottom w:val="none" w:sz="0" w:space="0" w:color="auto"/>
        <w:right w:val="none" w:sz="0" w:space="0" w:color="auto"/>
      </w:divBdr>
      <w:divsChild>
        <w:div w:id="56173158">
          <w:marLeft w:val="0"/>
          <w:marRight w:val="0"/>
          <w:marTop w:val="0"/>
          <w:marBottom w:val="0"/>
          <w:divBdr>
            <w:top w:val="none" w:sz="0" w:space="0" w:color="auto"/>
            <w:left w:val="none" w:sz="0" w:space="0" w:color="auto"/>
            <w:bottom w:val="none" w:sz="0" w:space="0" w:color="auto"/>
            <w:right w:val="none" w:sz="0" w:space="0" w:color="auto"/>
          </w:divBdr>
          <w:divsChild>
            <w:div w:id="975719264">
              <w:marLeft w:val="0"/>
              <w:marRight w:val="0"/>
              <w:marTop w:val="0"/>
              <w:marBottom w:val="0"/>
              <w:divBdr>
                <w:top w:val="none" w:sz="0" w:space="0" w:color="auto"/>
                <w:left w:val="none" w:sz="0" w:space="0" w:color="auto"/>
                <w:bottom w:val="none" w:sz="0" w:space="0" w:color="auto"/>
                <w:right w:val="none" w:sz="0" w:space="0" w:color="auto"/>
              </w:divBdr>
              <w:divsChild>
                <w:div w:id="1495073777">
                  <w:marLeft w:val="0"/>
                  <w:marRight w:val="0"/>
                  <w:marTop w:val="0"/>
                  <w:marBottom w:val="0"/>
                  <w:divBdr>
                    <w:top w:val="none" w:sz="0" w:space="0" w:color="auto"/>
                    <w:left w:val="none" w:sz="0" w:space="0" w:color="auto"/>
                    <w:bottom w:val="none" w:sz="0" w:space="0" w:color="auto"/>
                    <w:right w:val="none" w:sz="0" w:space="0" w:color="auto"/>
                  </w:divBdr>
                  <w:divsChild>
                    <w:div w:id="7870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82623">
              <w:marLeft w:val="0"/>
              <w:marRight w:val="0"/>
              <w:marTop w:val="0"/>
              <w:marBottom w:val="0"/>
              <w:divBdr>
                <w:top w:val="none" w:sz="0" w:space="0" w:color="auto"/>
                <w:left w:val="none" w:sz="0" w:space="0" w:color="auto"/>
                <w:bottom w:val="none" w:sz="0" w:space="0" w:color="auto"/>
                <w:right w:val="none" w:sz="0" w:space="0" w:color="auto"/>
              </w:divBdr>
              <w:divsChild>
                <w:div w:id="11970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4567">
          <w:marLeft w:val="0"/>
          <w:marRight w:val="0"/>
          <w:marTop w:val="0"/>
          <w:marBottom w:val="0"/>
          <w:divBdr>
            <w:top w:val="none" w:sz="0" w:space="0" w:color="auto"/>
            <w:left w:val="none" w:sz="0" w:space="0" w:color="auto"/>
            <w:bottom w:val="none" w:sz="0" w:space="0" w:color="auto"/>
            <w:right w:val="none" w:sz="0" w:space="0" w:color="auto"/>
          </w:divBdr>
          <w:divsChild>
            <w:div w:id="896628937">
              <w:marLeft w:val="0"/>
              <w:marRight w:val="0"/>
              <w:marTop w:val="0"/>
              <w:marBottom w:val="0"/>
              <w:divBdr>
                <w:top w:val="none" w:sz="0" w:space="0" w:color="auto"/>
                <w:left w:val="none" w:sz="0" w:space="0" w:color="auto"/>
                <w:bottom w:val="none" w:sz="0" w:space="0" w:color="auto"/>
                <w:right w:val="none" w:sz="0" w:space="0" w:color="auto"/>
              </w:divBdr>
              <w:divsChild>
                <w:div w:id="1730572774">
                  <w:marLeft w:val="0"/>
                  <w:marRight w:val="0"/>
                  <w:marTop w:val="0"/>
                  <w:marBottom w:val="0"/>
                  <w:divBdr>
                    <w:top w:val="none" w:sz="0" w:space="0" w:color="auto"/>
                    <w:left w:val="none" w:sz="0" w:space="0" w:color="auto"/>
                    <w:bottom w:val="none" w:sz="0" w:space="0" w:color="auto"/>
                    <w:right w:val="none" w:sz="0" w:space="0" w:color="auto"/>
                  </w:divBdr>
                  <w:divsChild>
                    <w:div w:id="776368839">
                      <w:marLeft w:val="0"/>
                      <w:marRight w:val="0"/>
                      <w:marTop w:val="0"/>
                      <w:marBottom w:val="0"/>
                      <w:divBdr>
                        <w:top w:val="none" w:sz="0" w:space="0" w:color="auto"/>
                        <w:left w:val="none" w:sz="0" w:space="0" w:color="auto"/>
                        <w:bottom w:val="none" w:sz="0" w:space="0" w:color="auto"/>
                        <w:right w:val="none" w:sz="0" w:space="0" w:color="auto"/>
                      </w:divBdr>
                    </w:div>
                    <w:div w:id="19890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68">
              <w:marLeft w:val="0"/>
              <w:marRight w:val="0"/>
              <w:marTop w:val="0"/>
              <w:marBottom w:val="0"/>
              <w:divBdr>
                <w:top w:val="none" w:sz="0" w:space="0" w:color="auto"/>
                <w:left w:val="none" w:sz="0" w:space="0" w:color="auto"/>
                <w:bottom w:val="none" w:sz="0" w:space="0" w:color="auto"/>
                <w:right w:val="none" w:sz="0" w:space="0" w:color="auto"/>
              </w:divBdr>
              <w:divsChild>
                <w:div w:id="1158839007">
                  <w:marLeft w:val="0"/>
                  <w:marRight w:val="0"/>
                  <w:marTop w:val="0"/>
                  <w:marBottom w:val="0"/>
                  <w:divBdr>
                    <w:top w:val="none" w:sz="0" w:space="0" w:color="auto"/>
                    <w:left w:val="none" w:sz="0" w:space="0" w:color="auto"/>
                    <w:bottom w:val="none" w:sz="0" w:space="0" w:color="auto"/>
                    <w:right w:val="none" w:sz="0" w:space="0" w:color="auto"/>
                  </w:divBdr>
                  <w:divsChild>
                    <w:div w:id="1694763951">
                      <w:marLeft w:val="0"/>
                      <w:marRight w:val="0"/>
                      <w:marTop w:val="0"/>
                      <w:marBottom w:val="0"/>
                      <w:divBdr>
                        <w:top w:val="none" w:sz="0" w:space="0" w:color="auto"/>
                        <w:left w:val="none" w:sz="0" w:space="0" w:color="auto"/>
                        <w:bottom w:val="none" w:sz="0" w:space="0" w:color="auto"/>
                        <w:right w:val="none" w:sz="0" w:space="0" w:color="auto"/>
                      </w:divBdr>
                    </w:div>
                    <w:div w:id="8835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1112">
              <w:marLeft w:val="0"/>
              <w:marRight w:val="0"/>
              <w:marTop w:val="0"/>
              <w:marBottom w:val="0"/>
              <w:divBdr>
                <w:top w:val="none" w:sz="0" w:space="0" w:color="auto"/>
                <w:left w:val="none" w:sz="0" w:space="0" w:color="auto"/>
                <w:bottom w:val="none" w:sz="0" w:space="0" w:color="auto"/>
                <w:right w:val="none" w:sz="0" w:space="0" w:color="auto"/>
              </w:divBdr>
              <w:divsChild>
                <w:div w:id="966467930">
                  <w:marLeft w:val="0"/>
                  <w:marRight w:val="0"/>
                  <w:marTop w:val="0"/>
                  <w:marBottom w:val="0"/>
                  <w:divBdr>
                    <w:top w:val="none" w:sz="0" w:space="0" w:color="auto"/>
                    <w:left w:val="none" w:sz="0" w:space="0" w:color="auto"/>
                    <w:bottom w:val="none" w:sz="0" w:space="0" w:color="auto"/>
                    <w:right w:val="none" w:sz="0" w:space="0" w:color="auto"/>
                  </w:divBdr>
                  <w:divsChild>
                    <w:div w:id="764036715">
                      <w:marLeft w:val="0"/>
                      <w:marRight w:val="0"/>
                      <w:marTop w:val="0"/>
                      <w:marBottom w:val="0"/>
                      <w:divBdr>
                        <w:top w:val="none" w:sz="0" w:space="0" w:color="auto"/>
                        <w:left w:val="none" w:sz="0" w:space="0" w:color="auto"/>
                        <w:bottom w:val="none" w:sz="0" w:space="0" w:color="auto"/>
                        <w:right w:val="none" w:sz="0" w:space="0" w:color="auto"/>
                      </w:divBdr>
                    </w:div>
                    <w:div w:id="98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98619">
              <w:marLeft w:val="0"/>
              <w:marRight w:val="0"/>
              <w:marTop w:val="0"/>
              <w:marBottom w:val="0"/>
              <w:divBdr>
                <w:top w:val="none" w:sz="0" w:space="0" w:color="auto"/>
                <w:left w:val="none" w:sz="0" w:space="0" w:color="auto"/>
                <w:bottom w:val="none" w:sz="0" w:space="0" w:color="auto"/>
                <w:right w:val="none" w:sz="0" w:space="0" w:color="auto"/>
              </w:divBdr>
              <w:divsChild>
                <w:div w:id="363210021">
                  <w:marLeft w:val="0"/>
                  <w:marRight w:val="0"/>
                  <w:marTop w:val="0"/>
                  <w:marBottom w:val="0"/>
                  <w:divBdr>
                    <w:top w:val="none" w:sz="0" w:space="0" w:color="auto"/>
                    <w:left w:val="none" w:sz="0" w:space="0" w:color="auto"/>
                    <w:bottom w:val="none" w:sz="0" w:space="0" w:color="auto"/>
                    <w:right w:val="none" w:sz="0" w:space="0" w:color="auto"/>
                  </w:divBdr>
                  <w:divsChild>
                    <w:div w:id="594021217">
                      <w:marLeft w:val="0"/>
                      <w:marRight w:val="0"/>
                      <w:marTop w:val="0"/>
                      <w:marBottom w:val="0"/>
                      <w:divBdr>
                        <w:top w:val="none" w:sz="0" w:space="0" w:color="auto"/>
                        <w:left w:val="none" w:sz="0" w:space="0" w:color="auto"/>
                        <w:bottom w:val="none" w:sz="0" w:space="0" w:color="auto"/>
                        <w:right w:val="none" w:sz="0" w:space="0" w:color="auto"/>
                      </w:divBdr>
                    </w:div>
                    <w:div w:id="5614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416444">
              <w:marLeft w:val="0"/>
              <w:marRight w:val="0"/>
              <w:marTop w:val="0"/>
              <w:marBottom w:val="0"/>
              <w:divBdr>
                <w:top w:val="none" w:sz="0" w:space="0" w:color="auto"/>
                <w:left w:val="none" w:sz="0" w:space="0" w:color="auto"/>
                <w:bottom w:val="none" w:sz="0" w:space="0" w:color="auto"/>
                <w:right w:val="none" w:sz="0" w:space="0" w:color="auto"/>
              </w:divBdr>
              <w:divsChild>
                <w:div w:id="496573527">
                  <w:marLeft w:val="0"/>
                  <w:marRight w:val="0"/>
                  <w:marTop w:val="0"/>
                  <w:marBottom w:val="0"/>
                  <w:divBdr>
                    <w:top w:val="none" w:sz="0" w:space="0" w:color="auto"/>
                    <w:left w:val="none" w:sz="0" w:space="0" w:color="auto"/>
                    <w:bottom w:val="none" w:sz="0" w:space="0" w:color="auto"/>
                    <w:right w:val="none" w:sz="0" w:space="0" w:color="auto"/>
                  </w:divBdr>
                  <w:divsChild>
                    <w:div w:id="639698683">
                      <w:marLeft w:val="0"/>
                      <w:marRight w:val="0"/>
                      <w:marTop w:val="0"/>
                      <w:marBottom w:val="0"/>
                      <w:divBdr>
                        <w:top w:val="none" w:sz="0" w:space="0" w:color="auto"/>
                        <w:left w:val="none" w:sz="0" w:space="0" w:color="auto"/>
                        <w:bottom w:val="none" w:sz="0" w:space="0" w:color="auto"/>
                        <w:right w:val="none" w:sz="0" w:space="0" w:color="auto"/>
                      </w:divBdr>
                    </w:div>
                    <w:div w:id="16976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83276">
          <w:marLeft w:val="0"/>
          <w:marRight w:val="0"/>
          <w:marTop w:val="0"/>
          <w:marBottom w:val="0"/>
          <w:divBdr>
            <w:top w:val="none" w:sz="0" w:space="0" w:color="auto"/>
            <w:left w:val="none" w:sz="0" w:space="0" w:color="auto"/>
            <w:bottom w:val="none" w:sz="0" w:space="0" w:color="auto"/>
            <w:right w:val="none" w:sz="0" w:space="0" w:color="auto"/>
          </w:divBdr>
        </w:div>
        <w:div w:id="696933354">
          <w:marLeft w:val="0"/>
          <w:marRight w:val="0"/>
          <w:marTop w:val="0"/>
          <w:marBottom w:val="0"/>
          <w:divBdr>
            <w:top w:val="none" w:sz="0" w:space="0" w:color="auto"/>
            <w:left w:val="none" w:sz="0" w:space="0" w:color="auto"/>
            <w:bottom w:val="none" w:sz="0" w:space="0" w:color="auto"/>
            <w:right w:val="none" w:sz="0" w:space="0" w:color="auto"/>
          </w:divBdr>
        </w:div>
        <w:div w:id="358168536">
          <w:marLeft w:val="0"/>
          <w:marRight w:val="0"/>
          <w:marTop w:val="0"/>
          <w:marBottom w:val="0"/>
          <w:divBdr>
            <w:top w:val="none" w:sz="0" w:space="0" w:color="auto"/>
            <w:left w:val="none" w:sz="0" w:space="0" w:color="auto"/>
            <w:bottom w:val="none" w:sz="0" w:space="0" w:color="auto"/>
            <w:right w:val="none" w:sz="0" w:space="0" w:color="auto"/>
          </w:divBdr>
          <w:divsChild>
            <w:div w:id="1177228560">
              <w:marLeft w:val="0"/>
              <w:marRight w:val="0"/>
              <w:marTop w:val="0"/>
              <w:marBottom w:val="0"/>
              <w:divBdr>
                <w:top w:val="none" w:sz="0" w:space="0" w:color="auto"/>
                <w:left w:val="none" w:sz="0" w:space="0" w:color="auto"/>
                <w:bottom w:val="none" w:sz="0" w:space="0" w:color="auto"/>
                <w:right w:val="none" w:sz="0" w:space="0" w:color="auto"/>
              </w:divBdr>
              <w:divsChild>
                <w:div w:id="143335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4456</Characters>
  <Application>Microsoft Office Word</Application>
  <DocSecurity>0</DocSecurity>
  <Lines>37</Lines>
  <Paragraphs>10</Paragraphs>
  <ScaleCrop>false</ScaleCrop>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1</cp:revision>
  <dcterms:created xsi:type="dcterms:W3CDTF">2026-04-20T14:59:00Z</dcterms:created>
  <dcterms:modified xsi:type="dcterms:W3CDTF">2026-04-20T15:00:00Z</dcterms:modified>
</cp:coreProperties>
</file>