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F6524B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Πρωταγωνιστής των εξαγορών στην Ελλάδα παραμένει η τεχνολογία</w:t>
      </w:r>
    </w:p>
    <w:p w14:paraId="08BFF372" w14:textId="6D9B23C2" w:rsidR="000F2AFD" w:rsidRPr="000F2AFD" w:rsidRDefault="000F2AFD" w:rsidP="000F2AFD">
      <w:r w:rsidRPr="000F2AFD">
        <w:drawing>
          <wp:inline distT="0" distB="0" distL="0" distR="0" wp14:anchorId="4BA6034D" wp14:editId="35C55002">
            <wp:extent cx="5943600" cy="3343275"/>
            <wp:effectExtent l="0" t="0" r="0" b="9525"/>
            <wp:docPr id="248647085" name="Picture 10" descr="acquisitions-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acquisitions-tech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B1AFB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18 ΜΑΡ 2026</w:t>
      </w:r>
      <w:r w:rsidRPr="000F2AFD">
        <w:rPr>
          <w:b/>
          <w:bCs/>
          <w:lang w:val="el-GR"/>
        </w:rPr>
        <w:t>Νατάσα Φραγκούλη</w:t>
      </w:r>
      <w:r w:rsidRPr="000F2AFD">
        <w:rPr>
          <w:b/>
          <w:bCs/>
        </w:rPr>
        <w:t> </w:t>
      </w:r>
      <w:hyperlink r:id="rId5" w:history="1">
        <w:r w:rsidRPr="000F2AFD">
          <w:rPr>
            <w:rStyle w:val="Hyperlink"/>
            <w:b/>
            <w:bCs/>
          </w:rPr>
          <w:t>fragouli</w:t>
        </w:r>
        <w:r w:rsidRPr="000F2AFD">
          <w:rPr>
            <w:rStyle w:val="Hyperlink"/>
            <w:b/>
            <w:bCs/>
            <w:lang w:val="el-GR"/>
          </w:rPr>
          <w:t>@</w:t>
        </w:r>
        <w:r w:rsidRPr="000F2AFD">
          <w:rPr>
            <w:rStyle w:val="Hyperlink"/>
            <w:b/>
            <w:bCs/>
          </w:rPr>
          <w:t>sepe</w:t>
        </w:r>
        <w:r w:rsidRPr="000F2AFD">
          <w:rPr>
            <w:rStyle w:val="Hyperlink"/>
            <w:b/>
            <w:bCs/>
            <w:lang w:val="el-GR"/>
          </w:rPr>
          <w:t>.</w:t>
        </w:r>
        <w:r w:rsidRPr="000F2AFD">
          <w:rPr>
            <w:rStyle w:val="Hyperlink"/>
            <w:b/>
            <w:bCs/>
          </w:rPr>
          <w:t>gr</w:t>
        </w:r>
      </w:hyperlink>
    </w:p>
    <w:p w14:paraId="4476DC5C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Με φόντο τη συνολική αξία των €23,8 δισ. και τις 181 συναλλαγές που καταγράφηκαν το 2025, ο κλάδος ΤΜΤ (Τηλεπικοινωνίες, ΜΜΕ και Τεχνολογία) αναδεικνύεται σε βασικό πυλώνα της νέας δυναμικής, που αναπτύσσεται στην ελληνική αγορά εξαγορών και συγχωνεύσεων, με αυξημένο επενδυτικό ενδιαφέρον και ισχυρή συμμετοχή διεθνών κεφαλαίων.</w:t>
      </w:r>
    </w:p>
    <w:p w14:paraId="1EF092B6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Ρεκόρ συναλλαγών, αυξημένα κεφάλαια και έντονη δραστηριότητα στην τεχνολογία διαμορφώνουν μια νέα πραγματικότητα για την αγορά </w:t>
      </w:r>
      <w:r w:rsidRPr="000F2AFD">
        <w:t>M</w:t>
      </w:r>
      <w:r w:rsidRPr="000F2AFD">
        <w:rPr>
          <w:lang w:val="el-GR"/>
        </w:rPr>
        <w:t>&amp;</w:t>
      </w:r>
      <w:r w:rsidRPr="000F2AFD">
        <w:t>A</w:t>
      </w:r>
    </w:p>
    <w:p w14:paraId="0E390911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Η ελληνική αγορά, σύμφωνα με τη μελέτη της </w:t>
      </w:r>
      <w:r w:rsidRPr="000F2AFD">
        <w:t>PwC </w:t>
      </w:r>
      <w:r w:rsidRPr="000F2AFD">
        <w:rPr>
          <w:lang w:val="el-GR"/>
        </w:rPr>
        <w:t>Ελλάδας για τις εξαγορές και συγχωνεύσεις επιχειρήσεων στη χώρα το 2025, δείχνει ότι η αγορά εισέρχεται σε μια νέα φάση ωρίμανσης και έντονης κινητικότητας, με το 2025 να καταγράφεται ως χρονιά-ορόσημο.</w:t>
      </w:r>
    </w:p>
    <w:p w14:paraId="3D1D8673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Η συνολική αξία των συναλλαγών σημείωσε αύξηση κατά €7,3 δισ. σε σχέση με το 2024, γεγονός που επιβεβαιώνει την επιτάχυνση της επενδυτικής δραστηριότητας και την ενίσχυση της εμπιστοσύνης στην ελληνική οικονομία.</w:t>
      </w:r>
    </w:p>
    <w:p w14:paraId="30BBC93D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Καθοριστικό ρόλο σε αυτήν την άνοδο διαδραματίζει ο κλάδος ΤΜΤ, ο οποίος κατέγραψε 43 συναλλαγές συνολικής αξίας €1,3 δισ., αποτελώντας έναν από τους πλέον ενεργούς τομείς της αγοράς. Η έντονη κινητικότητα αποτυπώνει την αυξανόμενη σημασία της τεχνολογίας ως μοχλού ανάπτυξης, αλλά και τη στρατηγική στόχευση των επενδυτών σε εταιρείες με ψηφιακές δυνατότητες και καινοτόμα επιχειρηματικά μοντέλα.</w:t>
      </w:r>
    </w:p>
    <w:p w14:paraId="2F23EC5F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lastRenderedPageBreak/>
        <w:t>Η δυναμική του κλάδου ΤΜΤ δεν περιορίζεται μόνο στον αριθμό των συναλλαγών, αλλά επεκτείνεται και στη φύση τους. Σύμφωνα με τα στοιχεία, περίπου το 44% των συναλλαγών στον κλάδο σχετίζεται με εταιρείες λογισμικού, γεγονός που αναδεικνύει τη μετατόπιση προς ψηφιακές υπηρεσίες και τεχνολογικές λύσεις υψηλής προστιθέμενης αξίας.</w:t>
      </w:r>
    </w:p>
    <w:p w14:paraId="102FCFBB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Παράλληλα, σχεδόν 1 στις 4 συναλλαγές αφορά </w:t>
      </w:r>
      <w:r w:rsidRPr="000F2AFD">
        <w:t>startups</w:t>
      </w:r>
      <w:r w:rsidRPr="000F2AFD">
        <w:rPr>
          <w:lang w:val="el-GR"/>
        </w:rPr>
        <w:t>, υπογραμμίζοντας τον αυξανόμενο ρόλο της καινοτομίας και της νεοφυούς επιχειρηματικότητας στο οικοσύστημα των επενδύσεων.</w:t>
      </w:r>
    </w:p>
    <w:p w14:paraId="1540FCE6" w14:textId="6F82EFC9" w:rsidR="000F2AFD" w:rsidRPr="000F2AFD" w:rsidRDefault="000F2AFD" w:rsidP="000F2AFD">
      <w:r w:rsidRPr="000F2AFD">
        <w:lastRenderedPageBreak/>
        <w:drawing>
          <wp:inline distT="0" distB="0" distL="0" distR="0" wp14:anchorId="3AD97066" wp14:editId="1E9905DF">
            <wp:extent cx="5172075" cy="7324725"/>
            <wp:effectExtent l="0" t="0" r="9525" b="9525"/>
            <wp:docPr id="1372530143" name="Picture 9" descr="m_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_a_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2AD5D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Ο ρόλος της ΑΙ</w:t>
      </w:r>
    </w:p>
    <w:p w14:paraId="2831B043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Η τεχνητή νοημοσύνη αποτέλεσε - σύμφωνα με τη μελέτη της</w:t>
      </w:r>
      <w:r w:rsidRPr="000F2AFD">
        <w:t> PwC </w:t>
      </w:r>
      <w:r w:rsidRPr="000F2AFD">
        <w:rPr>
          <w:lang w:val="el-GR"/>
        </w:rPr>
        <w:t xml:space="preserve">για τις εξαγορές και συγχωνεύσεις - έναν από τους βασικούς παράγοντες, που επηρέασαν το 2025 τη στρατηγική </w:t>
      </w:r>
      <w:r w:rsidRPr="000F2AFD">
        <w:rPr>
          <w:lang w:val="el-GR"/>
        </w:rPr>
        <w:lastRenderedPageBreak/>
        <w:t xml:space="preserve">των εξαγορών και συγχωνεύσεων. Στο σχετικό </w:t>
      </w:r>
      <w:r w:rsidRPr="000F2AFD">
        <w:t>report</w:t>
      </w:r>
      <w:r w:rsidRPr="000F2AFD">
        <w:rPr>
          <w:lang w:val="el-GR"/>
        </w:rPr>
        <w:t xml:space="preserve"> επισημαίνεται ότι οι εταιρείες στρέφονται όλο και περισσότερο σε επενδύσεις που ενισχύουν τις ψηφιακές τους δυνατότητες, με την </w:t>
      </w:r>
      <w:r w:rsidRPr="000F2AFD">
        <w:t>AI</w:t>
      </w:r>
      <w:r w:rsidRPr="000F2AFD">
        <w:rPr>
          <w:lang w:val="el-GR"/>
        </w:rPr>
        <w:t xml:space="preserve"> να βρίσκεται στο επίκεντρο αυτής της μετάβασης.</w:t>
      </w:r>
    </w:p>
    <w:p w14:paraId="1543CE56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Υπογραμμίζεται, εξάλλου, ότι η αξιοποίηση δεδομένων και τεχνολογιών, όπως η τεχνητή νοημοσύνη, συνδέεται άμεσα με τη δημιουργία αξίας και την ανταγωνιστικότητα. Με απλά λόγια, το </w:t>
      </w:r>
      <w:r w:rsidRPr="000F2AFD">
        <w:t>report</w:t>
      </w:r>
      <w:r w:rsidRPr="000F2AFD">
        <w:rPr>
          <w:lang w:val="el-GR"/>
        </w:rPr>
        <w:t xml:space="preserve"> “δείχνει” ότι η </w:t>
      </w:r>
      <w:r w:rsidRPr="000F2AFD">
        <w:t>AI</w:t>
      </w:r>
      <w:r w:rsidRPr="000F2AFD">
        <w:rPr>
          <w:lang w:val="el-GR"/>
        </w:rPr>
        <w:t xml:space="preserve"> δεν είναι απλώς μια τάση, αλλά βασικός </w:t>
      </w:r>
      <w:r w:rsidRPr="000F2AFD">
        <w:t>driver</w:t>
      </w:r>
      <w:r w:rsidRPr="000F2AFD">
        <w:rPr>
          <w:lang w:val="el-GR"/>
        </w:rPr>
        <w:t xml:space="preserve"> για τα </w:t>
      </w:r>
      <w:r w:rsidRPr="000F2AFD">
        <w:t>deals </w:t>
      </w:r>
      <w:r w:rsidRPr="000F2AFD">
        <w:rPr>
          <w:lang w:val="el-GR"/>
        </w:rPr>
        <w:t>- ειδικά στον κλάδο</w:t>
      </w:r>
      <w:r w:rsidRPr="000F2AFD">
        <w:t> TMT</w:t>
      </w:r>
      <w:r w:rsidRPr="000F2AFD">
        <w:rPr>
          <w:lang w:val="el-GR"/>
        </w:rPr>
        <w:t>.</w:t>
      </w:r>
    </w:p>
    <w:p w14:paraId="654F8478" w14:textId="547C63B3" w:rsidR="000F2AFD" w:rsidRPr="000F2AFD" w:rsidRDefault="000F2AFD" w:rsidP="000F2AFD">
      <w:r w:rsidRPr="000F2AFD">
        <w:drawing>
          <wp:inline distT="0" distB="0" distL="0" distR="0" wp14:anchorId="42B9C136" wp14:editId="5A43CC95">
            <wp:extent cx="3342680" cy="4733925"/>
            <wp:effectExtent l="0" t="0" r="0" b="0"/>
            <wp:docPr id="687598458" name="Picture 8" descr="m_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_a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616" cy="476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9D785" w14:textId="77777777" w:rsidR="000F2AFD" w:rsidRPr="000F2AFD" w:rsidRDefault="000F2AFD" w:rsidP="000F2AFD">
      <w:r w:rsidRPr="000F2AFD">
        <w:t xml:space="preserve">Τα </w:t>
      </w:r>
      <w:proofErr w:type="gramStart"/>
      <w:r w:rsidRPr="000F2AFD">
        <w:t>megadeals  και</w:t>
      </w:r>
      <w:proofErr w:type="gramEnd"/>
      <w:r w:rsidRPr="000F2AFD">
        <w:t xml:space="preserve"> τα private equity</w:t>
      </w:r>
    </w:p>
    <w:p w14:paraId="46EDE0AF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Η εικόνα της αγοράς διαμορφώνεται σε μεγάλο βαθμό από τα λεγόμενα </w:t>
      </w:r>
      <w:r w:rsidRPr="000F2AFD">
        <w:t>megadeals</w:t>
      </w:r>
      <w:r w:rsidRPr="000F2AFD">
        <w:rPr>
          <w:lang w:val="el-GR"/>
        </w:rPr>
        <w:t>, δηλαδή συναλλαγές αξίας άνω του €1 δισ., οι οποίες την τελευταία πενταετία αντιπροσωπεύουν περίπου το 30% της συνολικής αξίας, ενώ το 2025 πέντε τέτοιες συμφωνίες ξεπέρασαν τα €14 δισ.</w:t>
      </w:r>
    </w:p>
    <w:p w14:paraId="2ED16B79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Η συμμετοχή διεθνών επενδυτών αποτελεί έναν ακόμη κρίσιμο παράγοντα, που ενισχύει τη δυναμική του κλάδου. Το 2025, περίπου το 70% της συνολικής αξίας των συναλλαγών προήλθε </w:t>
      </w:r>
      <w:r w:rsidRPr="000F2AFD">
        <w:rPr>
          <w:lang w:val="el-GR"/>
        </w:rPr>
        <w:lastRenderedPageBreak/>
        <w:t>από ξένους επενδυτές, επιβεβαιώνοντας τη διεθνή απήχηση των ελληνικών επιχειρήσεων και τη στρατηγική σημασία της χώρας ως επενδυτικού προορισμού.</w:t>
      </w:r>
    </w:p>
    <w:p w14:paraId="3314C8E4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Ιδιαίτερη σημασία αποκτά και η συμμετοχή των </w:t>
      </w:r>
      <w:r w:rsidRPr="000F2AFD">
        <w:t>Private</w:t>
      </w:r>
      <w:r w:rsidRPr="000F2AFD">
        <w:rPr>
          <w:lang w:val="el-GR"/>
        </w:rPr>
        <w:t xml:space="preserve"> </w:t>
      </w:r>
      <w:r w:rsidRPr="000F2AFD">
        <w:t>Equity</w:t>
      </w:r>
      <w:r w:rsidRPr="000F2AFD">
        <w:rPr>
          <w:lang w:val="el-GR"/>
        </w:rPr>
        <w:t xml:space="preserve"> </w:t>
      </w:r>
      <w:r w:rsidRPr="000F2AFD">
        <w:t>funds</w:t>
      </w:r>
      <w:r w:rsidRPr="000F2AFD">
        <w:rPr>
          <w:lang w:val="el-GR"/>
        </w:rPr>
        <w:t>, τα οποία αντιπροσωπεύουν το 16% της συνολικής αξίας των συναλλαγών, σηματοδοτώντας μια σαφή μεταστροφή σε σχέση με προηγούμενες περιόδους, όπου η παρουσία τους ήταν πιο περιορισμένη.</w:t>
      </w:r>
    </w:p>
    <w:p w14:paraId="3F6B94B1" w14:textId="05771FE6" w:rsidR="000F2AFD" w:rsidRPr="000F2AFD" w:rsidRDefault="000F2AFD" w:rsidP="000F2AFD">
      <w:r w:rsidRPr="000F2AFD">
        <w:drawing>
          <wp:inline distT="0" distB="0" distL="0" distR="0" wp14:anchorId="6B360B62" wp14:editId="247CE20E">
            <wp:extent cx="5886450" cy="5200599"/>
            <wp:effectExtent l="0" t="0" r="0" b="635"/>
            <wp:docPr id="1360449207" name="Picture 7" descr="m_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_a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351" cy="523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4172E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 xml:space="preserve">Ποιοι κλάδοι γεννούν τα περισσότερα </w:t>
      </w:r>
      <w:r w:rsidRPr="000F2AFD">
        <w:t>deals</w:t>
      </w:r>
    </w:p>
    <w:p w14:paraId="726A011F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Στο επίπεδο των επιμέρους τομέων, ο κλάδος των χρηματοοικονομικών υπηρεσιών διατηρεί την πρωτιά με €3 δισ. συνολικής αξίας συναλλαγών, ενώ ακολουθεί ο κλάδος της ενέργειας με €2,9 δισ. και των τροφίμων-ποτών με €0,8 δισ. Ωστόσο, η έντονη δραστηριότητα στο ΤΜΤ καταδεικνύει ότι η τεχνολογία λειτουργεί, πλέον, ως οριζόντιος καταλύτης, που επηρεάζει όλους τους κλάδους - από την ενέργεια έως τις χρηματοοικονομικές υπηρεσίες.</w:t>
      </w:r>
    </w:p>
    <w:p w14:paraId="67B9F20D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lastRenderedPageBreak/>
        <w:t>Παράλληλα, η αγορά εμφανίζει σαφή σημάδια ωρίμανσης, με τις ελληνικές επιχειρήσεις να διευρύνουν την εξωστρέφειά τους και να προσελκύουν στρατηγικούς επενδυτές. Η τάση αυτή αποτυπώνεται και στην αύξηση των διασυνοριακών συναλλαγών, οι οποίες ενισχύουν τη διεθνή θέση των ελληνικών εταιρειών και συμβάλλουν στη μεταφορά τεχνογνωσίας.</w:t>
      </w:r>
    </w:p>
    <w:p w14:paraId="6387DD39" w14:textId="77777777" w:rsidR="000F2AFD" w:rsidRPr="000F2AFD" w:rsidRDefault="000F2AFD" w:rsidP="000F2AFD">
      <w:pPr>
        <w:rPr>
          <w:lang w:val="el-GR"/>
        </w:rPr>
      </w:pPr>
      <w:r w:rsidRPr="000F2AFD">
        <w:rPr>
          <w:lang w:val="el-GR"/>
        </w:rPr>
        <w:t>Οι προοπτικές για το 2026 διαγράφονται ιδιαίτερα θετικές, καθώς ήδη βρίσκονται σε εξέλιξη συναλλαγές αξίας άνω των €7 δισ., με έμφαση στους κλάδους της ενέργειας και των ανανεώσιμων πηγών, αλλά και στη βιομηχανία και τον τομέα τροφίμων και ποτών. Ωστόσο, η τεχνολογία αναμένεται να συνεχίσει να διαδραματίζει πρωταγωνιστικό ρόλο, καθώς οι επιχειρήσεις επιταχύνουν τον ψηφιακό μετασχηματισμό τους.</w:t>
      </w:r>
    </w:p>
    <w:p w14:paraId="6E3EC140" w14:textId="5AC45EF1" w:rsidR="000F2AFD" w:rsidRPr="000F2AFD" w:rsidRDefault="000F2AFD" w:rsidP="000F2AFD">
      <w:r w:rsidRPr="000F2AFD">
        <w:drawing>
          <wp:inline distT="0" distB="0" distL="0" distR="0" wp14:anchorId="135F957B" wp14:editId="27521C6C">
            <wp:extent cx="5638800" cy="5047720"/>
            <wp:effectExtent l="0" t="0" r="0" b="635"/>
            <wp:docPr id="43510231" name="Picture 6" descr="m_a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_a_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88" cy="5057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AE6A7" w14:textId="0188BD91" w:rsidR="008E449A" w:rsidRDefault="000F2AFD">
      <w:hyperlink r:id="rId10" w:history="1">
        <w:r w:rsidRPr="00496EBD">
          <w:rPr>
            <w:rStyle w:val="Hyperlink"/>
          </w:rPr>
          <w:t>https://www.sepe.gr/tehnologia-pliroforiki/22703123/protagonistis-ton-exagoron-stin-ellada-paramenei-i-tehnologia/</w:t>
        </w:r>
      </w:hyperlink>
    </w:p>
    <w:p w14:paraId="2D6FB7E3" w14:textId="77777777" w:rsidR="000F2AFD" w:rsidRDefault="000F2AFD"/>
    <w:sectPr w:rsidR="000F2AFD" w:rsidSect="000F2AFD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AFD"/>
    <w:rsid w:val="000F2AFD"/>
    <w:rsid w:val="001A58B3"/>
    <w:rsid w:val="001E4362"/>
    <w:rsid w:val="0028157D"/>
    <w:rsid w:val="002D097E"/>
    <w:rsid w:val="00455E0A"/>
    <w:rsid w:val="007644FC"/>
    <w:rsid w:val="008E449A"/>
    <w:rsid w:val="00B258DA"/>
    <w:rsid w:val="00BC350B"/>
    <w:rsid w:val="00F7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C9160"/>
  <w15:chartTrackingRefBased/>
  <w15:docId w15:val="{8EE8B921-F4D0-42FF-8186-094D0092A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2A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2A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2AF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2AF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2AF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2AF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2AF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2AF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2AF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2AF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2A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2AF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2AF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2AF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2AF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2AF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2AF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2AF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2A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2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2AF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2AF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2A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2AF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2AF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2AF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2AF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2AF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2AF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0F2A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F2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hyperlink" Target="mailto:fragouli@sepe.gr" TargetMode="External"/><Relationship Id="rId10" Type="http://schemas.openxmlformats.org/officeDocument/2006/relationships/hyperlink" Target="https://www.sepe.gr/tehnologia-pliroforiki/22703123/protagonistis-ton-exagoron-stin-ellada-paramenei-i-tehnologi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744</Words>
  <Characters>4246</Characters>
  <Application>Microsoft Office Word</Application>
  <DocSecurity>0</DocSecurity>
  <Lines>35</Lines>
  <Paragraphs>9</Paragraphs>
  <ScaleCrop>false</ScaleCrop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DIMITRIOS KAMPIS</dc:creator>
  <cp:keywords/>
  <dc:description/>
  <cp:lastModifiedBy>DIMITRIOS KAMPIS</cp:lastModifiedBy>
  <cp:revision>1</cp:revision>
  <dcterms:created xsi:type="dcterms:W3CDTF">2026-03-22T18:33:00Z</dcterms:created>
  <dcterms:modified xsi:type="dcterms:W3CDTF">2026-03-22T18:35:00Z</dcterms:modified>
</cp:coreProperties>
</file>