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20ED" w14:textId="77777777" w:rsidR="005D51F7" w:rsidRPr="005D51F7" w:rsidRDefault="005D51F7" w:rsidP="005D51F7">
      <w:pPr>
        <w:rPr>
          <w:b/>
          <w:bCs/>
          <w:lang w:val="el-GR"/>
        </w:rPr>
      </w:pPr>
      <w:r w:rsidRPr="005D51F7">
        <w:rPr>
          <w:b/>
          <w:bCs/>
          <w:lang w:val="el-GR"/>
        </w:rPr>
        <w:t xml:space="preserve">Βραβείο </w:t>
      </w:r>
      <w:proofErr w:type="spellStart"/>
      <w:r w:rsidRPr="005D51F7">
        <w:rPr>
          <w:b/>
          <w:bCs/>
        </w:rPr>
        <w:t>N</w:t>
      </w:r>
      <w:proofErr w:type="spellEnd"/>
      <w:r w:rsidRPr="005D51F7">
        <w:rPr>
          <w:b/>
          <w:bCs/>
          <w:lang w:val="el-GR"/>
        </w:rPr>
        <w:t>ομπέλ με το βλέμμα σε καινοτομία και ανάπτυξη</w:t>
      </w:r>
    </w:p>
    <w:p w14:paraId="31A813F8" w14:textId="77777777" w:rsidR="005D51F7" w:rsidRPr="005D51F7" w:rsidRDefault="005D51F7" w:rsidP="005D51F7">
      <w:r w:rsidRPr="005D51F7">
        <w:t>22.10.2025 15:37</w:t>
      </w:r>
    </w:p>
    <w:p w14:paraId="1812E2D8" w14:textId="77777777" w:rsidR="005D51F7" w:rsidRPr="005D51F7" w:rsidRDefault="005D51F7" w:rsidP="005D51F7">
      <w:r w:rsidRPr="005D51F7">
        <w:t xml:space="preserve">David R. Henderson </w:t>
      </w:r>
    </w:p>
    <w:p w14:paraId="27953277" w14:textId="1D7D8B02" w:rsidR="005D51F7" w:rsidRPr="005D51F7" w:rsidRDefault="005D51F7" w:rsidP="005D51F7">
      <w:r w:rsidRPr="005D51F7">
        <w:drawing>
          <wp:inline distT="0" distB="0" distL="0" distR="0" wp14:anchorId="02D94E43" wp14:editId="7553735C">
            <wp:extent cx="5943600" cy="3965575"/>
            <wp:effectExtent l="0" t="0" r="0" b="0"/>
            <wp:docPr id="778781107" name="Picture 2" descr="Βραβείο Nομπέλ με το βλέμμα σε καινοτομία και ανάπτυξ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Βραβείο Nομπέλ με το βλέμμα σε καινοτομία και ανάπτυξη"/>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5575"/>
                    </a:xfrm>
                    <a:prstGeom prst="rect">
                      <a:avLst/>
                    </a:prstGeom>
                    <a:noFill/>
                    <a:ln>
                      <a:noFill/>
                    </a:ln>
                  </pic:spPr>
                </pic:pic>
              </a:graphicData>
            </a:graphic>
          </wp:inline>
        </w:drawing>
      </w:r>
    </w:p>
    <w:p w14:paraId="21BDC956" w14:textId="77777777" w:rsidR="005D51F7" w:rsidRPr="005D51F7" w:rsidRDefault="005D51F7" w:rsidP="005D51F7">
      <w:pPr>
        <w:rPr>
          <w:b/>
          <w:bCs/>
          <w:lang w:val="el-GR"/>
        </w:rPr>
      </w:pPr>
      <w:r w:rsidRPr="005D51F7">
        <w:rPr>
          <w:b/>
          <w:bCs/>
          <w:lang w:val="el-GR"/>
        </w:rPr>
        <w:t>Οι φετινές απονομές δείχνουν την κατεύθυνση για παραγωγή ευημερίας, εν αντιθέσει με άλλες χρονιές που διακρίνονταν περίπλοκα οικονομικά μοντέλα χωρίς ουσιαστική σημασία</w:t>
      </w:r>
    </w:p>
    <w:p w14:paraId="08E1B45F" w14:textId="77777777" w:rsidR="005D51F7" w:rsidRPr="005D51F7" w:rsidRDefault="005D51F7" w:rsidP="005D51F7">
      <w:pPr>
        <w:rPr>
          <w:lang w:val="el-GR"/>
        </w:rPr>
      </w:pPr>
      <w:r w:rsidRPr="005D51F7">
        <w:rPr>
          <w:lang w:val="el-GR"/>
        </w:rPr>
        <w:t xml:space="preserve">Το σημαντικότερο ζήτημα στην οικονομική επιστήμη είναι η ανάπτυξη. Γι’ αυτό η ανακοίνωση της περασμένης Δευτέρας για τους τρεις νικητές του </w:t>
      </w:r>
      <w:hyperlink r:id="rId5" w:history="1">
        <w:r w:rsidRPr="005D51F7">
          <w:rPr>
            <w:rStyle w:val="Hyperlink"/>
            <w:lang w:val="el-GR"/>
          </w:rPr>
          <w:t>Νομπέλ Οικονομικών</w:t>
        </w:r>
      </w:hyperlink>
      <w:r w:rsidRPr="005D51F7">
        <w:rPr>
          <w:lang w:val="el-GR"/>
        </w:rPr>
        <w:t xml:space="preserve"> του 2025 είναι ενθαρρυντική. Η επιτροπή </w:t>
      </w:r>
      <w:hyperlink r:id="rId6" w:history="1">
        <w:r w:rsidRPr="005D51F7">
          <w:rPr>
            <w:rStyle w:val="Hyperlink"/>
            <w:lang w:val="el-GR"/>
          </w:rPr>
          <w:t>απένειμε το βραβείο σε τρεις οικονομολόγους</w:t>
        </w:r>
      </w:hyperlink>
      <w:r w:rsidRPr="005D51F7">
        <w:rPr>
          <w:lang w:val="el-GR"/>
        </w:rPr>
        <w:t xml:space="preserve"> «για τη συμβολή τους στην κατανόηση της καινοτομίας ως κινητήριας δύναμης για την οικονομική ανάπτυξη».</w:t>
      </w:r>
    </w:p>
    <w:p w14:paraId="55D168F7" w14:textId="77777777" w:rsidR="005D51F7" w:rsidRPr="005D51F7" w:rsidRDefault="005D51F7" w:rsidP="005D51F7">
      <w:pPr>
        <w:rPr>
          <w:lang w:val="el-GR"/>
        </w:rPr>
      </w:pPr>
      <w:r w:rsidRPr="005D51F7">
        <w:rPr>
          <w:lang w:val="el-GR"/>
        </w:rPr>
        <w:t xml:space="preserve">Οι νικητές είναι . Ο </w:t>
      </w:r>
      <w:r w:rsidRPr="005D51F7">
        <w:t>Mokyr</w:t>
      </w:r>
      <w:r w:rsidRPr="005D51F7">
        <w:rPr>
          <w:lang w:val="el-GR"/>
        </w:rPr>
        <w:t xml:space="preserve"> λαμβάνει το ήμισυ του ποσού των περίπου 1,16 εκατ. δολαρίων, ενώ οι </w:t>
      </w:r>
      <w:r w:rsidRPr="005D51F7">
        <w:t>Aghion</w:t>
      </w:r>
      <w:r w:rsidRPr="005D51F7">
        <w:rPr>
          <w:lang w:val="el-GR"/>
        </w:rPr>
        <w:t xml:space="preserve"> και </w:t>
      </w:r>
      <w:r w:rsidRPr="005D51F7">
        <w:t>Howitt</w:t>
      </w:r>
      <w:r w:rsidRPr="005D51F7">
        <w:rPr>
          <w:lang w:val="el-GR"/>
        </w:rPr>
        <w:t xml:space="preserve"> μοιράζονται το υπόλοιπο.</w:t>
      </w:r>
    </w:p>
    <w:p w14:paraId="5DB4BE5F" w14:textId="77777777" w:rsidR="005D51F7" w:rsidRPr="005D51F7" w:rsidRDefault="005D51F7" w:rsidP="005D51F7">
      <w:pPr>
        <w:rPr>
          <w:b/>
          <w:bCs/>
          <w:lang w:val="el-GR"/>
        </w:rPr>
      </w:pPr>
      <w:r w:rsidRPr="005D51F7">
        <w:rPr>
          <w:b/>
          <w:bCs/>
          <w:lang w:val="el-GR"/>
        </w:rPr>
        <w:t>«Ραβδί του χόκεϊ»</w:t>
      </w:r>
    </w:p>
    <w:p w14:paraId="79F818E7" w14:textId="77777777" w:rsidR="005D51F7" w:rsidRPr="005D51F7" w:rsidRDefault="005D51F7" w:rsidP="005D51F7">
      <w:pPr>
        <w:rPr>
          <w:lang w:val="el-GR"/>
        </w:rPr>
      </w:pPr>
      <w:r w:rsidRPr="005D51F7">
        <w:rPr>
          <w:lang w:val="el-GR"/>
        </w:rPr>
        <w:t xml:space="preserve">Ο </w:t>
      </w:r>
      <w:r w:rsidRPr="005D51F7">
        <w:t>Mokyr</w:t>
      </w:r>
      <w:r w:rsidRPr="005D51F7">
        <w:rPr>
          <w:lang w:val="el-GR"/>
        </w:rPr>
        <w:t xml:space="preserve"> είναι οικονομικός ιστορικός και έχει αφιερωθεί στο να κατανοήσει γιατί προέκυψε αυτό που αποκαλείται «ραβδί του χόκεϊ» της ανθρώπινης ευημερίας – μια μεταφορά όπου η μακριά, επίπεδη λαβή αντιπροσωπεύει αιώνες οικονομικής στασιμότητας πριν από τη Βιομηχανική Επανάσταση και η κοντή, απότομη λεπίδα συμβολίζει την εκρηκτική και διαρκή </w:t>
      </w:r>
      <w:r w:rsidRPr="005D51F7">
        <w:rPr>
          <w:lang w:val="el-GR"/>
        </w:rPr>
        <w:lastRenderedPageBreak/>
        <w:t xml:space="preserve">αύξηση του ΑΕΠ και του κατά κεφαλήν εισοδήματος στις ΗΠΑ και μεγάλο μέρος της Ευρώπης μετά την επανάσταση. Οι </w:t>
      </w:r>
      <w:r w:rsidRPr="005D51F7">
        <w:t>Aghion</w:t>
      </w:r>
      <w:r w:rsidRPr="005D51F7">
        <w:rPr>
          <w:lang w:val="el-GR"/>
        </w:rPr>
        <w:t xml:space="preserve"> και </w:t>
      </w:r>
      <w:r w:rsidRPr="005D51F7">
        <w:t>Howitt</w:t>
      </w:r>
      <w:r w:rsidRPr="005D51F7">
        <w:rPr>
          <w:lang w:val="el-GR"/>
        </w:rPr>
        <w:t xml:space="preserve"> επικεντρώθηκαν στη θεωρητική μοντελοποίηση της οικονομικής ανάπτυξης, προσφέροντας εργαλεία για να κατανοήσουμε πώς αλληλεπιδρούν διάφοροι παράγοντες ώστε να παραχθεί ανάπτυξη. Το έργο τους συμπληρώνει εκείνο του </w:t>
      </w:r>
      <w:r w:rsidRPr="005D51F7">
        <w:t>Mokyr</w:t>
      </w:r>
      <w:r w:rsidRPr="005D51F7">
        <w:rPr>
          <w:lang w:val="el-GR"/>
        </w:rPr>
        <w:t>.</w:t>
      </w:r>
    </w:p>
    <w:p w14:paraId="3DE04051" w14:textId="77777777" w:rsidR="005D51F7" w:rsidRPr="005D51F7" w:rsidRDefault="005D51F7" w:rsidP="005D51F7">
      <w:pPr>
        <w:rPr>
          <w:lang w:val="el-GR"/>
        </w:rPr>
      </w:pPr>
      <w:r w:rsidRPr="005D51F7">
        <w:rPr>
          <w:lang w:val="el-GR"/>
        </w:rPr>
        <w:t xml:space="preserve">Ο </w:t>
      </w:r>
      <w:r w:rsidRPr="005D51F7">
        <w:t>Mokyr</w:t>
      </w:r>
      <w:r w:rsidRPr="005D51F7">
        <w:rPr>
          <w:lang w:val="el-GR"/>
        </w:rPr>
        <w:t xml:space="preserve"> υποστηρίζει ότι δύο παράγοντες ευθύνονταν για τη Βιομηχανική Επανάσταση του 19ου αιώνα που έθεσε σε κίνηση τη μεγέθυνση: η κανονιστική γνώση και η προτασιακή γνώση. Η πρώτη αφορά το «πώς» – δηλαδή τη γνώση συνταγών, σχεδίων, οδηγιών, διαδικασιών και τεχνικών. Η δεύτερη, πιο θεμελιώδης, αφορά το «τι» και το «γιατί»: εξηγεί γιατί κάτι λειτουργεί.</w:t>
      </w:r>
    </w:p>
    <w:p w14:paraId="5F103A91" w14:textId="77777777" w:rsidR="005D51F7" w:rsidRPr="005D51F7" w:rsidRDefault="005D51F7" w:rsidP="005D51F7">
      <w:pPr>
        <w:rPr>
          <w:b/>
          <w:bCs/>
          <w:lang w:val="el-GR"/>
        </w:rPr>
      </w:pPr>
      <w:r w:rsidRPr="005D51F7">
        <w:rPr>
          <w:b/>
          <w:bCs/>
          <w:lang w:val="el-GR"/>
        </w:rPr>
        <w:t>Δύο είδη γνώσης</w:t>
      </w:r>
    </w:p>
    <w:p w14:paraId="0CA3B009" w14:textId="77777777" w:rsidR="005D51F7" w:rsidRPr="005D51F7" w:rsidRDefault="005D51F7" w:rsidP="005D51F7">
      <w:pPr>
        <w:rPr>
          <w:lang w:val="el-GR"/>
        </w:rPr>
      </w:pPr>
      <w:r w:rsidRPr="005D51F7">
        <w:rPr>
          <w:lang w:val="el-GR"/>
        </w:rPr>
        <w:t xml:space="preserve">Μελετώντας διεξοδικά την αλληλεπίδραση επιστήμης και πρακτικής τεχνογνωσίας, ο </w:t>
      </w:r>
      <w:r w:rsidRPr="005D51F7">
        <w:t>Mokyr</w:t>
      </w:r>
      <w:r w:rsidRPr="005D51F7">
        <w:rPr>
          <w:lang w:val="el-GR"/>
        </w:rPr>
        <w:t xml:space="preserve"> ανέδειξε τη σημασία και των δύο ειδών γνώσης. Εξήγησε, για παράδειγμα, γιατί αναπτύχθηκε η Βρετανία. Ενας σημαντικός παράγοντας – το προτασιακό σκέλος – ήταν η «Δημοκρατία των Επιστολών» του 17ου και του 18ου αιώνα, μια διεθνής κοινότητα στην Ευρώπη και στην Αμερική που αντάλλασσε επιστημονική γνώση. Ο άλλος παράγοντας – το κανονιστικό σκέλος – ήταν ο μεγάλος αριθμός ειδικευμένων τεχνιτών και μηχανικών στη Βρετανία. Επίσης κρίσιμο ήταν ότι η χώρα αποτελούσε μια ανοιχτή κοινωνία όπου οι άνθρωποι ήταν ελεύθεροι να καινοτομούν.</w:t>
      </w:r>
    </w:p>
    <w:p w14:paraId="7EA4F732" w14:textId="77777777" w:rsidR="005D51F7" w:rsidRPr="005D51F7" w:rsidRDefault="005D51F7" w:rsidP="005D51F7">
      <w:pPr>
        <w:rPr>
          <w:lang w:val="el-GR"/>
        </w:rPr>
      </w:pPr>
      <w:r w:rsidRPr="005D51F7">
        <w:rPr>
          <w:lang w:val="el-GR"/>
        </w:rPr>
        <w:t>Αντίθετα, η Κίνα, αν και τεχνολογικός ηγέτης σε προηγούμενους αιώνες, δεν κατόρθωσε να πετύχει διατηρήσιμη ανάπτυξη. Οπως σημείωσε η επιτροπή, η κινεζική κυβέρνηση σταμάτησε τις γεωγραφικές εξερευνήσεις τη δεκαετία του 1430, αποκόπτοντας τον λαό της από τον υπόλοιπο κόσμο.</w:t>
      </w:r>
    </w:p>
    <w:p w14:paraId="19AC46A2" w14:textId="77777777" w:rsidR="005D51F7" w:rsidRPr="005D51F7" w:rsidRDefault="005D51F7" w:rsidP="005D51F7">
      <w:pPr>
        <w:rPr>
          <w:lang w:val="el-GR"/>
        </w:rPr>
      </w:pPr>
      <w:r w:rsidRPr="005D51F7">
        <w:rPr>
          <w:lang w:val="el-GR"/>
        </w:rPr>
        <w:t xml:space="preserve">Οι </w:t>
      </w:r>
      <w:r w:rsidRPr="005D51F7">
        <w:t>Mokyr</w:t>
      </w:r>
      <w:r w:rsidRPr="005D51F7">
        <w:rPr>
          <w:lang w:val="el-GR"/>
        </w:rPr>
        <w:t xml:space="preserve">, </w:t>
      </w:r>
      <w:r w:rsidRPr="005D51F7">
        <w:t>Aghion</w:t>
      </w:r>
      <w:r w:rsidRPr="005D51F7">
        <w:rPr>
          <w:lang w:val="el-GR"/>
        </w:rPr>
        <w:t xml:space="preserve"> και </w:t>
      </w:r>
      <w:r w:rsidRPr="005D51F7">
        <w:t>Howitt</w:t>
      </w:r>
      <w:r w:rsidRPr="005D51F7">
        <w:rPr>
          <w:lang w:val="el-GR"/>
        </w:rPr>
        <w:t xml:space="preserve"> συμμερίζονται την πίστη στη σημασία αυτού που ο αυστριακός οικονομολόγος </w:t>
      </w:r>
      <w:r w:rsidRPr="005D51F7">
        <w:t>Joseph</w:t>
      </w:r>
      <w:r w:rsidRPr="005D51F7">
        <w:rPr>
          <w:lang w:val="el-GR"/>
        </w:rPr>
        <w:t xml:space="preserve"> </w:t>
      </w:r>
      <w:r w:rsidRPr="005D51F7">
        <w:t>Schumpeter</w:t>
      </w:r>
      <w:r w:rsidRPr="005D51F7">
        <w:rPr>
          <w:lang w:val="el-GR"/>
        </w:rPr>
        <w:t xml:space="preserve"> ονόμασε «δημιουργική καταστροφή». Οταν κάποιες επιχειρήσεις καινοτομούν, δημιουργούν νέες βιομηχανίες και προϊόντα, καταστρέφοντας ή αντικαθιστώντας τα παλιά. Κλασικό παράδειγμα: το </w:t>
      </w:r>
      <w:r w:rsidRPr="005D51F7">
        <w:t>Model</w:t>
      </w:r>
      <w:r w:rsidRPr="005D51F7">
        <w:rPr>
          <w:lang w:val="el-GR"/>
        </w:rPr>
        <w:t xml:space="preserve"> </w:t>
      </w:r>
      <w:r w:rsidRPr="005D51F7">
        <w:t>T</w:t>
      </w:r>
      <w:r w:rsidRPr="005D51F7">
        <w:rPr>
          <w:lang w:val="el-GR"/>
        </w:rPr>
        <w:t xml:space="preserve"> του </w:t>
      </w:r>
      <w:r w:rsidRPr="005D51F7">
        <w:t>Henry</w:t>
      </w:r>
      <w:r w:rsidRPr="005D51F7">
        <w:rPr>
          <w:lang w:val="el-GR"/>
        </w:rPr>
        <w:t xml:space="preserve"> </w:t>
      </w:r>
      <w:r w:rsidRPr="005D51F7">
        <w:t>Ford</w:t>
      </w:r>
      <w:r w:rsidRPr="005D51F7">
        <w:rPr>
          <w:lang w:val="el-GR"/>
        </w:rPr>
        <w:t xml:space="preserve"> που εξαφάνισε την αγορά των αμαξών με άλογα. Ο </w:t>
      </w:r>
      <w:r w:rsidRPr="005D51F7">
        <w:t>Mokyr</w:t>
      </w:r>
      <w:r w:rsidRPr="005D51F7">
        <w:rPr>
          <w:lang w:val="el-GR"/>
        </w:rPr>
        <w:t xml:space="preserve"> αποκαλεί τη Βιομηχανική Επανάσταση </w:t>
      </w:r>
      <w:r w:rsidRPr="005D51F7">
        <w:rPr>
          <w:i/>
          <w:iCs/>
          <w:lang w:val="el-GR"/>
        </w:rPr>
        <w:t>«τη μητέρα όλων των δημιουργικών καταστροφών».</w:t>
      </w:r>
    </w:p>
    <w:p w14:paraId="011E65EF" w14:textId="77777777" w:rsidR="005D51F7" w:rsidRPr="005D51F7" w:rsidRDefault="005D51F7" w:rsidP="005D51F7">
      <w:pPr>
        <w:rPr>
          <w:b/>
          <w:bCs/>
          <w:lang w:val="el-GR"/>
        </w:rPr>
      </w:pPr>
      <w:r w:rsidRPr="005D51F7">
        <w:rPr>
          <w:b/>
          <w:bCs/>
          <w:lang w:val="el-GR"/>
        </w:rPr>
        <w:t>Το πέτυχαν</w:t>
      </w:r>
    </w:p>
    <w:p w14:paraId="06393454" w14:textId="77777777" w:rsidR="005D51F7" w:rsidRPr="005D51F7" w:rsidRDefault="005D51F7" w:rsidP="005D51F7">
      <w:pPr>
        <w:rPr>
          <w:lang w:val="el-GR"/>
        </w:rPr>
      </w:pPr>
      <w:r w:rsidRPr="005D51F7">
        <w:rPr>
          <w:lang w:val="el-GR"/>
        </w:rPr>
        <w:t xml:space="preserve">Στις αρχές της δεκαετίας του 1990, οι </w:t>
      </w:r>
      <w:r w:rsidRPr="005D51F7">
        <w:t>Aghion</w:t>
      </w:r>
      <w:r w:rsidRPr="005D51F7">
        <w:rPr>
          <w:lang w:val="el-GR"/>
        </w:rPr>
        <w:t xml:space="preserve"> και </w:t>
      </w:r>
      <w:r w:rsidRPr="005D51F7">
        <w:t>Howitt</w:t>
      </w:r>
      <w:r w:rsidRPr="005D51F7">
        <w:rPr>
          <w:lang w:val="el-GR"/>
        </w:rPr>
        <w:t xml:space="preserve">, δυσαρεστημένοι με τα τότε υπάρχοντα μαθηματικά μοντέλα ανάπτυξης, δημιούργησαν ένα νέο στο οποίο η δημιουργική καταστροφή ήταν κεντρικό στοιχείο. Ο «πατέρας» των σύγχρονων μοντέλων οικονομικής μεγέθυνσης ήταν ο εκλιπών οικονομολόγος του </w:t>
      </w:r>
      <w:r w:rsidRPr="005D51F7">
        <w:t>MIT</w:t>
      </w:r>
      <w:r w:rsidRPr="005D51F7">
        <w:rPr>
          <w:lang w:val="el-GR"/>
        </w:rPr>
        <w:t xml:space="preserve"> </w:t>
      </w:r>
      <w:r w:rsidRPr="005D51F7">
        <w:rPr>
          <w:i/>
          <w:iCs/>
        </w:rPr>
        <w:t>Robert</w:t>
      </w:r>
      <w:r w:rsidRPr="005D51F7">
        <w:rPr>
          <w:i/>
          <w:iCs/>
          <w:lang w:val="el-GR"/>
        </w:rPr>
        <w:t xml:space="preserve"> </w:t>
      </w:r>
      <w:r w:rsidRPr="005D51F7">
        <w:rPr>
          <w:i/>
          <w:iCs/>
        </w:rPr>
        <w:t>Solow</w:t>
      </w:r>
      <w:r w:rsidRPr="005D51F7">
        <w:rPr>
          <w:lang w:val="el-GR"/>
        </w:rPr>
        <w:t xml:space="preserve">, που τιμήθηκε με το Νομπέλ το 1987 για το μοντέλο του από τη δεκαετία του 1950. Στο μοντέλο του </w:t>
      </w:r>
      <w:r w:rsidRPr="005D51F7">
        <w:t>Solow</w:t>
      </w:r>
      <w:r w:rsidRPr="005D51F7">
        <w:rPr>
          <w:lang w:val="el-GR"/>
        </w:rPr>
        <w:t xml:space="preserve">, ο βασικός </w:t>
      </w:r>
      <w:r w:rsidRPr="005D51F7">
        <w:rPr>
          <w:lang w:val="el-GR"/>
        </w:rPr>
        <w:lastRenderedPageBreak/>
        <w:t xml:space="preserve">μοχλός της ανάπτυξης ήταν η τεχνολογική πρόοδος, αλλά αυτή ήταν εξωγενής – δηλαδή τίποτα στο μοντέλο δεν εξηγούσε γιατί συνέβαινε. Οι </w:t>
      </w:r>
      <w:r w:rsidRPr="005D51F7">
        <w:t>Aghion</w:t>
      </w:r>
      <w:r w:rsidRPr="005D51F7">
        <w:rPr>
          <w:lang w:val="el-GR"/>
        </w:rPr>
        <w:t xml:space="preserve"> και </w:t>
      </w:r>
      <w:r w:rsidRPr="005D51F7">
        <w:t>Howitt</w:t>
      </w:r>
      <w:r w:rsidRPr="005D51F7">
        <w:rPr>
          <w:lang w:val="el-GR"/>
        </w:rPr>
        <w:t xml:space="preserve"> θέλησαν να το κάνουν, και το πέτυχαν.</w:t>
      </w:r>
    </w:p>
    <w:p w14:paraId="5B993E53" w14:textId="77777777" w:rsidR="005D51F7" w:rsidRPr="005D51F7" w:rsidRDefault="005D51F7" w:rsidP="005D51F7">
      <w:pPr>
        <w:rPr>
          <w:lang w:val="el-GR"/>
        </w:rPr>
      </w:pPr>
      <w:r w:rsidRPr="005D51F7">
        <w:rPr>
          <w:lang w:val="el-GR"/>
        </w:rPr>
        <w:t xml:space="preserve">Οι νικητές του φετινού Νομπέλ δείχνουν πώς η γνώση και η ελευθερία συνδυάζονται για να παράγουν ευημερία. Μετά τον </w:t>
      </w:r>
      <w:r w:rsidRPr="005D51F7">
        <w:t>Solow</w:t>
      </w:r>
      <w:r w:rsidRPr="005D51F7">
        <w:rPr>
          <w:lang w:val="el-GR"/>
        </w:rPr>
        <w:t xml:space="preserve">, οικονομολόγοι όπως οι </w:t>
      </w:r>
      <w:r w:rsidRPr="005D51F7">
        <w:t>Robert</w:t>
      </w:r>
      <w:r w:rsidRPr="005D51F7">
        <w:rPr>
          <w:lang w:val="el-GR"/>
        </w:rPr>
        <w:t xml:space="preserve"> </w:t>
      </w:r>
      <w:r w:rsidRPr="005D51F7">
        <w:t>Lucas</w:t>
      </w:r>
      <w:r w:rsidRPr="005D51F7">
        <w:rPr>
          <w:lang w:val="el-GR"/>
        </w:rPr>
        <w:t xml:space="preserve"> και </w:t>
      </w:r>
      <w:r w:rsidRPr="005D51F7">
        <w:t>Paul</w:t>
      </w:r>
      <w:r w:rsidRPr="005D51F7">
        <w:rPr>
          <w:lang w:val="el-GR"/>
        </w:rPr>
        <w:t xml:space="preserve"> </w:t>
      </w:r>
      <w:r w:rsidRPr="005D51F7">
        <w:t>Romer</w:t>
      </w:r>
      <w:r w:rsidRPr="005D51F7">
        <w:rPr>
          <w:lang w:val="el-GR"/>
        </w:rPr>
        <w:t xml:space="preserve"> ανέπτυξαν μοντέλα ενδογενούς τεχνολογικής προόδου.</w:t>
      </w:r>
    </w:p>
    <w:p w14:paraId="20F8EA40" w14:textId="77777777" w:rsidR="005D51F7" w:rsidRPr="005D51F7" w:rsidRDefault="005D51F7" w:rsidP="005D51F7">
      <w:pPr>
        <w:rPr>
          <w:lang w:val="el-GR"/>
        </w:rPr>
      </w:pPr>
      <w:r w:rsidRPr="005D51F7">
        <w:rPr>
          <w:lang w:val="el-GR"/>
        </w:rPr>
        <w:t xml:space="preserve">Οι </w:t>
      </w:r>
      <w:r w:rsidRPr="005D51F7">
        <w:t>Aghion</w:t>
      </w:r>
      <w:r w:rsidRPr="005D51F7">
        <w:rPr>
          <w:lang w:val="el-GR"/>
        </w:rPr>
        <w:t xml:space="preserve"> και </w:t>
      </w:r>
      <w:r w:rsidRPr="005D51F7">
        <w:t>Howitt</w:t>
      </w:r>
      <w:r w:rsidRPr="005D51F7">
        <w:rPr>
          <w:lang w:val="el-GR"/>
        </w:rPr>
        <w:t xml:space="preserve"> συνέβαλαν καθοριστικά με το έργο τους για τη δημιουργική καταστροφή. Μια εταιρεία που δημιουργεί ένα νέο προϊόν ή βρίσκει φθηνότερο τρόπο παραγωγής ενός υπάρχοντος έχει ισχυρό κίνητρο να το κάνει, αν εξασφαλίζει πατέντα που της επιτρέπει να αποκομίζει μονοπωλιακά κέρδη για όσο διαρκεί η προστασία. Ωστόσο άλλες εταιρείες παραμένουν ελεύθερες να καινοτομούν με δικά τους προϊόντα, επομένως οι προσωρινές μονοπωλιακές θέσεις που προσφέρουν οι πατέντες δεν σκοτώνουν την πρόοδο.</w:t>
      </w:r>
    </w:p>
    <w:p w14:paraId="083F69A7" w14:textId="77777777" w:rsidR="005D51F7" w:rsidRPr="005D51F7" w:rsidRDefault="005D51F7" w:rsidP="005D51F7">
      <w:pPr>
        <w:rPr>
          <w:b/>
          <w:bCs/>
          <w:lang w:val="el-GR"/>
        </w:rPr>
      </w:pPr>
      <w:r w:rsidRPr="005D51F7">
        <w:rPr>
          <w:b/>
          <w:bCs/>
          <w:lang w:val="el-GR"/>
        </w:rPr>
        <w:t>Ικανοποίηση</w:t>
      </w:r>
    </w:p>
    <w:p w14:paraId="03C4DB54" w14:textId="77777777" w:rsidR="005D51F7" w:rsidRPr="005D51F7" w:rsidRDefault="005D51F7" w:rsidP="005D51F7">
      <w:pPr>
        <w:rPr>
          <w:lang w:val="el-GR"/>
        </w:rPr>
      </w:pPr>
      <w:r w:rsidRPr="005D51F7">
        <w:rPr>
          <w:lang w:val="el-GR"/>
        </w:rPr>
        <w:t>Κάθε χρόνο περιμένω με κάποια ανησυχία να δω ποιος θα κερδίσει το Νομπέλ Οικονομικών. Πολλοί οικονομολόγοι φαίνεται ότι επιθυμούν το βραβείο να απονεμηθεί για περίπλοκα μοντέλα χωρίς ουσιαστική σημασία. Οταν είδα τους φετινούς νικητές, ένιωσα ικανοποίηση. Η οικονομική ανάπτυξη είναι ο λόγος που η ακραία φτώχεια έχει σχεδόν εκλείψει παγκοσμίως, το προσδόκιμο ζωής έχει αυξηθεί θεαματικά, και οι περισσότεροι Αμερικανοί διαθέτουν σήμερα αγαθά που κάποτε θεωρούνταν απλησίαστες πολυτέλειες. Και οι τρεις αναγνωρίζουν πως, επειδή η ανάπτυξη είναι κρίσιμη, πρέπει να κατανοήσουμε τον τρόπο με τον οποίο την αποκτήσαμε και πώς θα τη διατηρήσουμε.</w:t>
      </w:r>
    </w:p>
    <w:p w14:paraId="321EC6B6" w14:textId="77777777" w:rsidR="005D51F7" w:rsidRPr="005D51F7" w:rsidRDefault="005D51F7" w:rsidP="005D51F7">
      <w:pPr>
        <w:rPr>
          <w:lang w:val="el-GR"/>
        </w:rPr>
      </w:pPr>
      <w:r w:rsidRPr="005D51F7">
        <w:rPr>
          <w:b/>
          <w:bCs/>
          <w:i/>
          <w:iCs/>
          <w:lang w:val="el-GR"/>
        </w:rPr>
        <w:t xml:space="preserve">Ο κ. </w:t>
      </w:r>
      <w:r w:rsidRPr="005D51F7">
        <w:rPr>
          <w:b/>
          <w:bCs/>
          <w:i/>
          <w:iCs/>
        </w:rPr>
        <w:t>David</w:t>
      </w:r>
      <w:r w:rsidRPr="005D51F7">
        <w:rPr>
          <w:b/>
          <w:bCs/>
          <w:i/>
          <w:iCs/>
          <w:lang w:val="el-GR"/>
        </w:rPr>
        <w:t xml:space="preserve"> </w:t>
      </w:r>
      <w:r w:rsidRPr="005D51F7">
        <w:rPr>
          <w:b/>
          <w:bCs/>
          <w:i/>
          <w:iCs/>
        </w:rPr>
        <w:t>R</w:t>
      </w:r>
      <w:r w:rsidRPr="005D51F7">
        <w:rPr>
          <w:b/>
          <w:bCs/>
          <w:i/>
          <w:iCs/>
          <w:lang w:val="el-GR"/>
        </w:rPr>
        <w:t xml:space="preserve">. </w:t>
      </w:r>
      <w:r w:rsidRPr="005D51F7">
        <w:rPr>
          <w:b/>
          <w:bCs/>
          <w:i/>
          <w:iCs/>
        </w:rPr>
        <w:t>Henderson</w:t>
      </w:r>
      <w:r w:rsidRPr="005D51F7">
        <w:rPr>
          <w:b/>
          <w:bCs/>
          <w:i/>
          <w:iCs/>
          <w:lang w:val="el-GR"/>
        </w:rPr>
        <w:t xml:space="preserve"> είναι ερευνητικός συνεργάτης στο </w:t>
      </w:r>
      <w:r w:rsidRPr="005D51F7">
        <w:rPr>
          <w:b/>
          <w:bCs/>
          <w:i/>
          <w:iCs/>
        </w:rPr>
        <w:t>Hoover</w:t>
      </w:r>
      <w:r w:rsidRPr="005D51F7">
        <w:rPr>
          <w:b/>
          <w:bCs/>
          <w:i/>
          <w:iCs/>
          <w:lang w:val="el-GR"/>
        </w:rPr>
        <w:t xml:space="preserve"> </w:t>
      </w:r>
      <w:r w:rsidRPr="005D51F7">
        <w:rPr>
          <w:b/>
          <w:bCs/>
          <w:i/>
          <w:iCs/>
        </w:rPr>
        <w:t>Institution</w:t>
      </w:r>
      <w:r w:rsidRPr="005D51F7">
        <w:rPr>
          <w:b/>
          <w:bCs/>
          <w:i/>
          <w:iCs/>
          <w:lang w:val="el-GR"/>
        </w:rPr>
        <w:t xml:space="preserve"> του Πανεπιστημίου </w:t>
      </w:r>
      <w:r w:rsidRPr="005D51F7">
        <w:rPr>
          <w:b/>
          <w:bCs/>
          <w:i/>
          <w:iCs/>
        </w:rPr>
        <w:t>Stanford</w:t>
      </w:r>
      <w:r w:rsidRPr="005D51F7">
        <w:rPr>
          <w:b/>
          <w:bCs/>
          <w:i/>
          <w:iCs/>
          <w:lang w:val="el-GR"/>
        </w:rPr>
        <w:t xml:space="preserve"> και αρχισυντάκτης της </w:t>
      </w:r>
      <w:r w:rsidRPr="005D51F7">
        <w:rPr>
          <w:b/>
          <w:bCs/>
          <w:i/>
          <w:iCs/>
        </w:rPr>
        <w:t>Concise</w:t>
      </w:r>
      <w:r w:rsidRPr="005D51F7">
        <w:rPr>
          <w:b/>
          <w:bCs/>
          <w:i/>
          <w:iCs/>
          <w:lang w:val="el-GR"/>
        </w:rPr>
        <w:t xml:space="preserve"> </w:t>
      </w:r>
      <w:r w:rsidRPr="005D51F7">
        <w:rPr>
          <w:b/>
          <w:bCs/>
          <w:i/>
          <w:iCs/>
        </w:rPr>
        <w:t>Encyclopedia</w:t>
      </w:r>
      <w:r w:rsidRPr="005D51F7">
        <w:rPr>
          <w:b/>
          <w:bCs/>
          <w:i/>
          <w:iCs/>
          <w:lang w:val="el-GR"/>
        </w:rPr>
        <w:t xml:space="preserve"> </w:t>
      </w:r>
      <w:r w:rsidRPr="005D51F7">
        <w:rPr>
          <w:b/>
          <w:bCs/>
          <w:i/>
          <w:iCs/>
        </w:rPr>
        <w:t>of</w:t>
      </w:r>
      <w:r w:rsidRPr="005D51F7">
        <w:rPr>
          <w:b/>
          <w:bCs/>
          <w:i/>
          <w:iCs/>
          <w:lang w:val="el-GR"/>
        </w:rPr>
        <w:t xml:space="preserve"> </w:t>
      </w:r>
      <w:r w:rsidRPr="005D51F7">
        <w:rPr>
          <w:b/>
          <w:bCs/>
          <w:i/>
          <w:iCs/>
        </w:rPr>
        <w:t>Economics</w:t>
      </w:r>
      <w:r w:rsidRPr="005D51F7">
        <w:rPr>
          <w:b/>
          <w:bCs/>
          <w:i/>
          <w:iCs/>
          <w:lang w:val="el-GR"/>
        </w:rPr>
        <w:t>.</w:t>
      </w:r>
    </w:p>
    <w:p w14:paraId="462F0268" w14:textId="77777777" w:rsidR="008E449A" w:rsidRPr="005D51F7" w:rsidRDefault="008E449A">
      <w:pPr>
        <w:rPr>
          <w:lang w:val="el-GR"/>
        </w:rPr>
      </w:pPr>
    </w:p>
    <w:sectPr w:rsidR="008E449A" w:rsidRPr="005D5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F7"/>
    <w:rsid w:val="001A58B3"/>
    <w:rsid w:val="001E4362"/>
    <w:rsid w:val="002111C9"/>
    <w:rsid w:val="002D097E"/>
    <w:rsid w:val="00455E0A"/>
    <w:rsid w:val="005D51F7"/>
    <w:rsid w:val="007644FC"/>
    <w:rsid w:val="008E449A"/>
    <w:rsid w:val="00B258DA"/>
    <w:rsid w:val="00BC350B"/>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F2D2"/>
  <w15:chartTrackingRefBased/>
  <w15:docId w15:val="{CB0D5558-DB3A-4113-921E-9AF904D4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1F7"/>
    <w:rPr>
      <w:rFonts w:eastAsiaTheme="majorEastAsia" w:cstheme="majorBidi"/>
      <w:color w:val="272727" w:themeColor="text1" w:themeTint="D8"/>
    </w:rPr>
  </w:style>
  <w:style w:type="paragraph" w:styleId="Title">
    <w:name w:val="Title"/>
    <w:basedOn w:val="Normal"/>
    <w:next w:val="Normal"/>
    <w:link w:val="TitleChar"/>
    <w:uiPriority w:val="10"/>
    <w:qFormat/>
    <w:rsid w:val="005D5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1F7"/>
    <w:pPr>
      <w:spacing w:before="160"/>
      <w:jc w:val="center"/>
    </w:pPr>
    <w:rPr>
      <w:i/>
      <w:iCs/>
      <w:color w:val="404040" w:themeColor="text1" w:themeTint="BF"/>
    </w:rPr>
  </w:style>
  <w:style w:type="character" w:customStyle="1" w:styleId="QuoteChar">
    <w:name w:val="Quote Char"/>
    <w:basedOn w:val="DefaultParagraphFont"/>
    <w:link w:val="Quote"/>
    <w:uiPriority w:val="29"/>
    <w:rsid w:val="005D51F7"/>
    <w:rPr>
      <w:i/>
      <w:iCs/>
      <w:color w:val="404040" w:themeColor="text1" w:themeTint="BF"/>
    </w:rPr>
  </w:style>
  <w:style w:type="paragraph" w:styleId="ListParagraph">
    <w:name w:val="List Paragraph"/>
    <w:basedOn w:val="Normal"/>
    <w:uiPriority w:val="34"/>
    <w:qFormat/>
    <w:rsid w:val="005D51F7"/>
    <w:pPr>
      <w:ind w:left="720"/>
      <w:contextualSpacing/>
    </w:pPr>
  </w:style>
  <w:style w:type="character" w:styleId="IntenseEmphasis">
    <w:name w:val="Intense Emphasis"/>
    <w:basedOn w:val="DefaultParagraphFont"/>
    <w:uiPriority w:val="21"/>
    <w:qFormat/>
    <w:rsid w:val="005D51F7"/>
    <w:rPr>
      <w:i/>
      <w:iCs/>
      <w:color w:val="2F5496" w:themeColor="accent1" w:themeShade="BF"/>
    </w:rPr>
  </w:style>
  <w:style w:type="paragraph" w:styleId="IntenseQuote">
    <w:name w:val="Intense Quote"/>
    <w:basedOn w:val="Normal"/>
    <w:next w:val="Normal"/>
    <w:link w:val="IntenseQuoteChar"/>
    <w:uiPriority w:val="30"/>
    <w:qFormat/>
    <w:rsid w:val="005D5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1F7"/>
    <w:rPr>
      <w:i/>
      <w:iCs/>
      <w:color w:val="2F5496" w:themeColor="accent1" w:themeShade="BF"/>
    </w:rPr>
  </w:style>
  <w:style w:type="character" w:styleId="IntenseReference">
    <w:name w:val="Intense Reference"/>
    <w:basedOn w:val="DefaultParagraphFont"/>
    <w:uiPriority w:val="32"/>
    <w:qFormat/>
    <w:rsid w:val="005D51F7"/>
    <w:rPr>
      <w:b/>
      <w:bCs/>
      <w:smallCaps/>
      <w:color w:val="2F5496" w:themeColor="accent1" w:themeShade="BF"/>
      <w:spacing w:val="5"/>
    </w:rPr>
  </w:style>
  <w:style w:type="character" w:styleId="Hyperlink">
    <w:name w:val="Hyperlink"/>
    <w:basedOn w:val="DefaultParagraphFont"/>
    <w:uiPriority w:val="99"/>
    <w:unhideWhenUsed/>
    <w:rsid w:val="005D51F7"/>
    <w:rPr>
      <w:color w:val="0563C1" w:themeColor="hyperlink"/>
      <w:u w:val="single"/>
    </w:rPr>
  </w:style>
  <w:style w:type="character" w:styleId="UnresolvedMention">
    <w:name w:val="Unresolved Mention"/>
    <w:basedOn w:val="DefaultParagraphFont"/>
    <w:uiPriority w:val="99"/>
    <w:semiHidden/>
    <w:unhideWhenUsed/>
    <w:rsid w:val="005D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3318">
      <w:bodyDiv w:val="1"/>
      <w:marLeft w:val="0"/>
      <w:marRight w:val="0"/>
      <w:marTop w:val="0"/>
      <w:marBottom w:val="0"/>
      <w:divBdr>
        <w:top w:val="none" w:sz="0" w:space="0" w:color="auto"/>
        <w:left w:val="none" w:sz="0" w:space="0" w:color="auto"/>
        <w:bottom w:val="none" w:sz="0" w:space="0" w:color="auto"/>
        <w:right w:val="none" w:sz="0" w:space="0" w:color="auto"/>
      </w:divBdr>
      <w:divsChild>
        <w:div w:id="898904495">
          <w:marLeft w:val="0"/>
          <w:marRight w:val="0"/>
          <w:marTop w:val="0"/>
          <w:marBottom w:val="0"/>
          <w:divBdr>
            <w:top w:val="none" w:sz="0" w:space="0" w:color="auto"/>
            <w:left w:val="none" w:sz="0" w:space="0" w:color="auto"/>
            <w:bottom w:val="none" w:sz="0" w:space="0" w:color="auto"/>
            <w:right w:val="none" w:sz="0" w:space="0" w:color="auto"/>
          </w:divBdr>
          <w:divsChild>
            <w:div w:id="673579203">
              <w:marLeft w:val="0"/>
              <w:marRight w:val="0"/>
              <w:marTop w:val="0"/>
              <w:marBottom w:val="0"/>
              <w:divBdr>
                <w:top w:val="none" w:sz="0" w:space="0" w:color="auto"/>
                <w:left w:val="none" w:sz="0" w:space="0" w:color="auto"/>
                <w:bottom w:val="none" w:sz="0" w:space="0" w:color="auto"/>
                <w:right w:val="none" w:sz="0" w:space="0" w:color="auto"/>
              </w:divBdr>
              <w:divsChild>
                <w:div w:id="1045985516">
                  <w:marLeft w:val="0"/>
                  <w:marRight w:val="0"/>
                  <w:marTop w:val="0"/>
                  <w:marBottom w:val="0"/>
                  <w:divBdr>
                    <w:top w:val="none" w:sz="0" w:space="0" w:color="auto"/>
                    <w:left w:val="none" w:sz="0" w:space="0" w:color="auto"/>
                    <w:bottom w:val="none" w:sz="0" w:space="0" w:color="auto"/>
                    <w:right w:val="none" w:sz="0" w:space="0" w:color="auto"/>
                  </w:divBdr>
                  <w:divsChild>
                    <w:div w:id="689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35835">
          <w:marLeft w:val="0"/>
          <w:marRight w:val="0"/>
          <w:marTop w:val="0"/>
          <w:marBottom w:val="0"/>
          <w:divBdr>
            <w:top w:val="none" w:sz="0" w:space="0" w:color="auto"/>
            <w:left w:val="none" w:sz="0" w:space="0" w:color="auto"/>
            <w:bottom w:val="none" w:sz="0" w:space="0" w:color="auto"/>
            <w:right w:val="none" w:sz="0" w:space="0" w:color="auto"/>
          </w:divBdr>
          <w:divsChild>
            <w:div w:id="1270695442">
              <w:marLeft w:val="0"/>
              <w:marRight w:val="0"/>
              <w:marTop w:val="0"/>
              <w:marBottom w:val="0"/>
              <w:divBdr>
                <w:top w:val="none" w:sz="0" w:space="0" w:color="auto"/>
                <w:left w:val="none" w:sz="0" w:space="0" w:color="auto"/>
                <w:bottom w:val="none" w:sz="0" w:space="0" w:color="auto"/>
                <w:right w:val="none" w:sz="0" w:space="0" w:color="auto"/>
              </w:divBdr>
              <w:divsChild>
                <w:div w:id="910038256">
                  <w:marLeft w:val="0"/>
                  <w:marRight w:val="0"/>
                  <w:marTop w:val="0"/>
                  <w:marBottom w:val="0"/>
                  <w:divBdr>
                    <w:top w:val="none" w:sz="0" w:space="0" w:color="auto"/>
                    <w:left w:val="none" w:sz="0" w:space="0" w:color="auto"/>
                    <w:bottom w:val="none" w:sz="0" w:space="0" w:color="auto"/>
                    <w:right w:val="none" w:sz="0" w:space="0" w:color="auto"/>
                  </w:divBdr>
                  <w:divsChild>
                    <w:div w:id="189531026">
                      <w:marLeft w:val="0"/>
                      <w:marRight w:val="0"/>
                      <w:marTop w:val="0"/>
                      <w:marBottom w:val="0"/>
                      <w:divBdr>
                        <w:top w:val="none" w:sz="0" w:space="0" w:color="auto"/>
                        <w:left w:val="none" w:sz="0" w:space="0" w:color="auto"/>
                        <w:bottom w:val="none" w:sz="0" w:space="0" w:color="auto"/>
                        <w:right w:val="none" w:sz="0" w:space="0" w:color="auto"/>
                      </w:divBdr>
                    </w:div>
                    <w:div w:id="861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13483">
          <w:marLeft w:val="0"/>
          <w:marRight w:val="0"/>
          <w:marTop w:val="0"/>
          <w:marBottom w:val="0"/>
          <w:divBdr>
            <w:top w:val="none" w:sz="0" w:space="0" w:color="auto"/>
            <w:left w:val="none" w:sz="0" w:space="0" w:color="auto"/>
            <w:bottom w:val="none" w:sz="0" w:space="0" w:color="auto"/>
            <w:right w:val="none" w:sz="0" w:space="0" w:color="auto"/>
          </w:divBdr>
          <w:divsChild>
            <w:div w:id="1968731964">
              <w:marLeft w:val="0"/>
              <w:marRight w:val="0"/>
              <w:marTop w:val="0"/>
              <w:marBottom w:val="0"/>
              <w:divBdr>
                <w:top w:val="none" w:sz="0" w:space="0" w:color="auto"/>
                <w:left w:val="none" w:sz="0" w:space="0" w:color="auto"/>
                <w:bottom w:val="none" w:sz="0" w:space="0" w:color="auto"/>
                <w:right w:val="none" w:sz="0" w:space="0" w:color="auto"/>
              </w:divBdr>
              <w:divsChild>
                <w:div w:id="1406804367">
                  <w:marLeft w:val="0"/>
                  <w:marRight w:val="0"/>
                  <w:marTop w:val="0"/>
                  <w:marBottom w:val="0"/>
                  <w:divBdr>
                    <w:top w:val="none" w:sz="0" w:space="0" w:color="auto"/>
                    <w:left w:val="none" w:sz="0" w:space="0" w:color="auto"/>
                    <w:bottom w:val="none" w:sz="0" w:space="0" w:color="auto"/>
                    <w:right w:val="none" w:sz="0" w:space="0" w:color="auto"/>
                  </w:divBdr>
                </w:div>
                <w:div w:id="1154174861">
                  <w:marLeft w:val="0"/>
                  <w:marRight w:val="0"/>
                  <w:marTop w:val="0"/>
                  <w:marBottom w:val="0"/>
                  <w:divBdr>
                    <w:top w:val="none" w:sz="0" w:space="0" w:color="auto"/>
                    <w:left w:val="none" w:sz="0" w:space="0" w:color="auto"/>
                    <w:bottom w:val="none" w:sz="0" w:space="0" w:color="auto"/>
                    <w:right w:val="none" w:sz="0" w:space="0" w:color="auto"/>
                  </w:divBdr>
                  <w:divsChild>
                    <w:div w:id="395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56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1144">
          <w:marLeft w:val="0"/>
          <w:marRight w:val="0"/>
          <w:marTop w:val="0"/>
          <w:marBottom w:val="0"/>
          <w:divBdr>
            <w:top w:val="none" w:sz="0" w:space="0" w:color="auto"/>
            <w:left w:val="none" w:sz="0" w:space="0" w:color="auto"/>
            <w:bottom w:val="none" w:sz="0" w:space="0" w:color="auto"/>
            <w:right w:val="none" w:sz="0" w:space="0" w:color="auto"/>
          </w:divBdr>
          <w:divsChild>
            <w:div w:id="651450543">
              <w:marLeft w:val="0"/>
              <w:marRight w:val="0"/>
              <w:marTop w:val="0"/>
              <w:marBottom w:val="0"/>
              <w:divBdr>
                <w:top w:val="none" w:sz="0" w:space="0" w:color="auto"/>
                <w:left w:val="none" w:sz="0" w:space="0" w:color="auto"/>
                <w:bottom w:val="none" w:sz="0" w:space="0" w:color="auto"/>
                <w:right w:val="none" w:sz="0" w:space="0" w:color="auto"/>
              </w:divBdr>
              <w:divsChild>
                <w:div w:id="344013806">
                  <w:marLeft w:val="0"/>
                  <w:marRight w:val="0"/>
                  <w:marTop w:val="0"/>
                  <w:marBottom w:val="0"/>
                  <w:divBdr>
                    <w:top w:val="none" w:sz="0" w:space="0" w:color="auto"/>
                    <w:left w:val="none" w:sz="0" w:space="0" w:color="auto"/>
                    <w:bottom w:val="none" w:sz="0" w:space="0" w:color="auto"/>
                    <w:right w:val="none" w:sz="0" w:space="0" w:color="auto"/>
                  </w:divBdr>
                  <w:divsChild>
                    <w:div w:id="20617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5774">
          <w:marLeft w:val="0"/>
          <w:marRight w:val="0"/>
          <w:marTop w:val="0"/>
          <w:marBottom w:val="0"/>
          <w:divBdr>
            <w:top w:val="none" w:sz="0" w:space="0" w:color="auto"/>
            <w:left w:val="none" w:sz="0" w:space="0" w:color="auto"/>
            <w:bottom w:val="none" w:sz="0" w:space="0" w:color="auto"/>
            <w:right w:val="none" w:sz="0" w:space="0" w:color="auto"/>
          </w:divBdr>
          <w:divsChild>
            <w:div w:id="583337776">
              <w:marLeft w:val="0"/>
              <w:marRight w:val="0"/>
              <w:marTop w:val="0"/>
              <w:marBottom w:val="0"/>
              <w:divBdr>
                <w:top w:val="none" w:sz="0" w:space="0" w:color="auto"/>
                <w:left w:val="none" w:sz="0" w:space="0" w:color="auto"/>
                <w:bottom w:val="none" w:sz="0" w:space="0" w:color="auto"/>
                <w:right w:val="none" w:sz="0" w:space="0" w:color="auto"/>
              </w:divBdr>
              <w:divsChild>
                <w:div w:id="917402106">
                  <w:marLeft w:val="0"/>
                  <w:marRight w:val="0"/>
                  <w:marTop w:val="0"/>
                  <w:marBottom w:val="0"/>
                  <w:divBdr>
                    <w:top w:val="none" w:sz="0" w:space="0" w:color="auto"/>
                    <w:left w:val="none" w:sz="0" w:space="0" w:color="auto"/>
                    <w:bottom w:val="none" w:sz="0" w:space="0" w:color="auto"/>
                    <w:right w:val="none" w:sz="0" w:space="0" w:color="auto"/>
                  </w:divBdr>
                  <w:divsChild>
                    <w:div w:id="1901479629">
                      <w:marLeft w:val="0"/>
                      <w:marRight w:val="0"/>
                      <w:marTop w:val="0"/>
                      <w:marBottom w:val="0"/>
                      <w:divBdr>
                        <w:top w:val="none" w:sz="0" w:space="0" w:color="auto"/>
                        <w:left w:val="none" w:sz="0" w:space="0" w:color="auto"/>
                        <w:bottom w:val="none" w:sz="0" w:space="0" w:color="auto"/>
                        <w:right w:val="none" w:sz="0" w:space="0" w:color="auto"/>
                      </w:divBdr>
                    </w:div>
                    <w:div w:id="9745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571">
          <w:marLeft w:val="0"/>
          <w:marRight w:val="0"/>
          <w:marTop w:val="0"/>
          <w:marBottom w:val="0"/>
          <w:divBdr>
            <w:top w:val="none" w:sz="0" w:space="0" w:color="auto"/>
            <w:left w:val="none" w:sz="0" w:space="0" w:color="auto"/>
            <w:bottom w:val="none" w:sz="0" w:space="0" w:color="auto"/>
            <w:right w:val="none" w:sz="0" w:space="0" w:color="auto"/>
          </w:divBdr>
          <w:divsChild>
            <w:div w:id="1964263096">
              <w:marLeft w:val="0"/>
              <w:marRight w:val="0"/>
              <w:marTop w:val="0"/>
              <w:marBottom w:val="0"/>
              <w:divBdr>
                <w:top w:val="none" w:sz="0" w:space="0" w:color="auto"/>
                <w:left w:val="none" w:sz="0" w:space="0" w:color="auto"/>
                <w:bottom w:val="none" w:sz="0" w:space="0" w:color="auto"/>
                <w:right w:val="none" w:sz="0" w:space="0" w:color="auto"/>
              </w:divBdr>
              <w:divsChild>
                <w:div w:id="1289387579">
                  <w:marLeft w:val="0"/>
                  <w:marRight w:val="0"/>
                  <w:marTop w:val="0"/>
                  <w:marBottom w:val="0"/>
                  <w:divBdr>
                    <w:top w:val="none" w:sz="0" w:space="0" w:color="auto"/>
                    <w:left w:val="none" w:sz="0" w:space="0" w:color="auto"/>
                    <w:bottom w:val="none" w:sz="0" w:space="0" w:color="auto"/>
                    <w:right w:val="none" w:sz="0" w:space="0" w:color="auto"/>
                  </w:divBdr>
                </w:div>
                <w:div w:id="2082097680">
                  <w:marLeft w:val="0"/>
                  <w:marRight w:val="0"/>
                  <w:marTop w:val="0"/>
                  <w:marBottom w:val="0"/>
                  <w:divBdr>
                    <w:top w:val="none" w:sz="0" w:space="0" w:color="auto"/>
                    <w:left w:val="none" w:sz="0" w:space="0" w:color="auto"/>
                    <w:bottom w:val="none" w:sz="0" w:space="0" w:color="auto"/>
                    <w:right w:val="none" w:sz="0" w:space="0" w:color="auto"/>
                  </w:divBdr>
                  <w:divsChild>
                    <w:div w:id="15326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vima.gr/2025/10/13/finance/nompel-oikonomias-2025-se-3-epistimones-alla-moirasmeno-sta-dyo/" TargetMode="External"/><Relationship Id="rId5" Type="http://schemas.openxmlformats.org/officeDocument/2006/relationships/hyperlink" Target="https://www.tovima.gr/tag/nompel-oikonomia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2025-10-28T10:11:00Z</dcterms:created>
  <dcterms:modified xsi:type="dcterms:W3CDTF">2025-10-28T10:12:00Z</dcterms:modified>
</cp:coreProperties>
</file>