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D6DC" w14:textId="33C24100" w:rsidR="00226BA2" w:rsidRPr="00226BA2" w:rsidRDefault="00226BA2" w:rsidP="00226BA2">
      <w:r w:rsidRPr="00226BA2">
        <w:t>The IEA Oil Market Report (OMR)</w:t>
      </w:r>
      <w:r>
        <w:t>[</w:t>
      </w:r>
      <w:r w:rsidRPr="00226BA2">
        <w:t xml:space="preserve"> </w:t>
      </w:r>
      <w:hyperlink r:id="rId5" w:history="1">
        <w:r w:rsidRPr="002B74FC">
          <w:rPr>
            <w:rStyle w:val="Hyperlink"/>
          </w:rPr>
          <w:t>https://www.iea.org/reports/oil-market-report-march-2026#overview</w:t>
        </w:r>
      </w:hyperlink>
      <w:r w:rsidRPr="00226BA2">
        <w:t xml:space="preserve"> is one of the world's most authoritative and timely sources of data, forecasts and analysis on the global oil market – including detailed statistics and commentary on oil supply, demand, inventories, prices and refining activity, as well as oil trade for IEA and selected non-IEA countries.</w:t>
      </w:r>
    </w:p>
    <w:p w14:paraId="5B98954E" w14:textId="77777777" w:rsidR="00226BA2" w:rsidRPr="00226BA2" w:rsidRDefault="00226BA2" w:rsidP="00226BA2">
      <w:r w:rsidRPr="00226BA2">
        <w:t xml:space="preserve">Published 12 March 2026 </w:t>
      </w:r>
    </w:p>
    <w:p w14:paraId="07A4B3F2" w14:textId="77777777" w:rsidR="00226BA2" w:rsidRPr="00226BA2" w:rsidRDefault="00226BA2" w:rsidP="00226BA2">
      <w:proofErr w:type="spellStart"/>
      <w:r w:rsidRPr="00226BA2">
        <w:t>Licence</w:t>
      </w:r>
      <w:proofErr w:type="spellEnd"/>
      <w:r w:rsidRPr="00226BA2">
        <w:t xml:space="preserve"> </w:t>
      </w:r>
      <w:hyperlink r:id="rId6" w:history="1">
        <w:r w:rsidRPr="00226BA2">
          <w:rPr>
            <w:rStyle w:val="Hyperlink"/>
          </w:rPr>
          <w:t>Terms of Use for Non-CC Material</w:t>
        </w:r>
      </w:hyperlink>
      <w:r w:rsidRPr="00226BA2">
        <w:t xml:space="preserve"> </w:t>
      </w:r>
    </w:p>
    <w:p w14:paraId="5497FFE3" w14:textId="77777777" w:rsidR="00226BA2" w:rsidRPr="00226BA2" w:rsidRDefault="00226BA2" w:rsidP="00226BA2">
      <w:hyperlink r:id="rId7" w:history="1">
        <w:r w:rsidRPr="00226BA2">
          <w:rPr>
            <w:rStyle w:val="Hyperlink"/>
          </w:rPr>
          <w:t>Share</w:t>
        </w:r>
      </w:hyperlink>
      <w:r w:rsidRPr="00226BA2">
        <w:t xml:space="preserve"> </w:t>
      </w:r>
      <w:hyperlink r:id="rId8" w:history="1">
        <w:r w:rsidRPr="00226BA2">
          <w:rPr>
            <w:rStyle w:val="Hyperlink"/>
          </w:rPr>
          <w:t>Cite</w:t>
        </w:r>
      </w:hyperlink>
      <w:r w:rsidRPr="00226BA2">
        <w:t xml:space="preserve"> </w:t>
      </w:r>
    </w:p>
    <w:p w14:paraId="66409169" w14:textId="77777777" w:rsidR="00226BA2" w:rsidRPr="00226BA2" w:rsidRDefault="00226BA2" w:rsidP="00226BA2">
      <w:pPr>
        <w:rPr>
          <w:b/>
          <w:bCs/>
        </w:rPr>
      </w:pPr>
      <w:r w:rsidRPr="00226BA2">
        <w:rPr>
          <w:b/>
          <w:bCs/>
        </w:rPr>
        <w:t>Highlights</w:t>
      </w:r>
    </w:p>
    <w:p w14:paraId="56176334" w14:textId="77777777" w:rsidR="00226BA2" w:rsidRPr="00226BA2" w:rsidRDefault="00226BA2" w:rsidP="00226BA2">
      <w:pPr>
        <w:numPr>
          <w:ilvl w:val="0"/>
          <w:numId w:val="1"/>
        </w:numPr>
      </w:pPr>
      <w:r w:rsidRPr="00226BA2">
        <w:t>The war in the Middle East is creating the largest supply disruption in the history of the global oil market. With crude and oil product flows through the Strait of Hormuz plunging from around 20 mb/d before the war to a trickle currently, limited capacity available to bypass the crucial waterway, and storage filling up, Gulf countries have cut total oil production by at least 10 mb/d. In the absence of a rapid resumption of shipping flows, supply losses are set to increase.</w:t>
      </w:r>
    </w:p>
    <w:p w14:paraId="5A45979B" w14:textId="77777777" w:rsidR="00226BA2" w:rsidRPr="00226BA2" w:rsidRDefault="00226BA2" w:rsidP="00226BA2">
      <w:pPr>
        <w:numPr>
          <w:ilvl w:val="0"/>
          <w:numId w:val="1"/>
        </w:numPr>
      </w:pPr>
      <w:r w:rsidRPr="00226BA2">
        <w:t>Global oil supply is projected to plunge by 8 mb/d in March, with curtailments in the Middle East partly offset by higher output from non-OPEC+ producers, Kazakhstan and Russia following disruptions at the start of the year. While the extent of losses will depend on the duration of the conflict and disruptions to flows, we estimate global oil supply to rise by 1.1 mb/d in 2026 on average, with non-OPEC+ producers accounting for the entire increase.</w:t>
      </w:r>
    </w:p>
    <w:p w14:paraId="3AD60DB8" w14:textId="77777777" w:rsidR="00226BA2" w:rsidRPr="00226BA2" w:rsidRDefault="00226BA2" w:rsidP="00226BA2">
      <w:pPr>
        <w:numPr>
          <w:ilvl w:val="0"/>
          <w:numId w:val="1"/>
        </w:numPr>
      </w:pPr>
      <w:r w:rsidRPr="00226BA2">
        <w:t>The conflict is also having a significant impact on global product markets, with export flows through the Strait at a near standstill. Gulf producers exported 3.3 mb/d of refined products and 1.5 mb/d of LPG in 2025. More than 3 mb/d of refining capacity in the region has already shut due to attacks and a lack of viable export outlets. Runs elsewhere will be increasingly limited due to feedstock availability.</w:t>
      </w:r>
    </w:p>
    <w:p w14:paraId="40D921B6" w14:textId="77777777" w:rsidR="00226BA2" w:rsidRPr="00226BA2" w:rsidRDefault="00226BA2" w:rsidP="00226BA2">
      <w:pPr>
        <w:numPr>
          <w:ilvl w:val="0"/>
          <w:numId w:val="1"/>
        </w:numPr>
      </w:pPr>
      <w:r w:rsidRPr="00226BA2">
        <w:t>IEA Member countries unanimously agreed on 11 March to make 400 mb of oil from their emergency reserves available to the market to address disruptions stemming from the war in the Middle East. Global observed oil stocks were 8 210 mb in January, their highest level since February 2021. The OECD accounted for 50%, Chinese crude stocks 15%, oil on water 25%, with the remainder in other non-OECD countries.</w:t>
      </w:r>
    </w:p>
    <w:p w14:paraId="64EF2319" w14:textId="77777777" w:rsidR="00226BA2" w:rsidRPr="00226BA2" w:rsidRDefault="00226BA2" w:rsidP="00226BA2">
      <w:pPr>
        <w:numPr>
          <w:ilvl w:val="0"/>
          <w:numId w:val="1"/>
        </w:numPr>
      </w:pPr>
      <w:r w:rsidRPr="00226BA2">
        <w:t xml:space="preserve">Widespread flight cancellations in the Middle East and large-scale disruptions to LPG supplies are expected to curb global oil demand by around 1 mb/d during March and April compared to previous estimates. Higher oil prices and a more precarious outlook </w:t>
      </w:r>
      <w:r w:rsidRPr="00226BA2">
        <w:lastRenderedPageBreak/>
        <w:t>for the global economy pose further risks to the forecast. Global oil consumption is now set to increase by 640 kb/d y-o-y in 2026 – down 210 kb/d from last month.</w:t>
      </w:r>
    </w:p>
    <w:p w14:paraId="45226A12" w14:textId="77777777" w:rsidR="00226BA2" w:rsidRPr="00226BA2" w:rsidRDefault="00226BA2" w:rsidP="00226BA2">
      <w:pPr>
        <w:numPr>
          <w:ilvl w:val="0"/>
          <w:numId w:val="1"/>
        </w:numPr>
      </w:pPr>
      <w:r w:rsidRPr="00226BA2">
        <w:t>Oil prices have gyrated wildly since the United States and Israel launched joint air strikes on Iran on 28 February. Disruptions to Middle Eastern supplies due to attacks on the region’s oil infrastructure and the cessation of tanker traffic through the Strait of Hormuz sent Brent futures soaring, trading within a whisker of $120/bbl. Prices subsequently eased with Brent around $92/</w:t>
      </w:r>
      <w:proofErr w:type="spellStart"/>
      <w:r w:rsidRPr="00226BA2">
        <w:t>bbl</w:t>
      </w:r>
      <w:proofErr w:type="spellEnd"/>
      <w:r w:rsidRPr="00226BA2">
        <w:t xml:space="preserve"> at the time of writing – up $20/</w:t>
      </w:r>
      <w:proofErr w:type="spellStart"/>
      <w:r w:rsidRPr="00226BA2">
        <w:t>bbl</w:t>
      </w:r>
      <w:proofErr w:type="spellEnd"/>
      <w:r w:rsidRPr="00226BA2">
        <w:t xml:space="preserve"> for the month.</w:t>
      </w:r>
    </w:p>
    <w:p w14:paraId="544C1545" w14:textId="77777777" w:rsidR="00226BA2" w:rsidRPr="00226BA2" w:rsidRDefault="00226BA2" w:rsidP="00226BA2">
      <w:pPr>
        <w:rPr>
          <w:b/>
          <w:bCs/>
        </w:rPr>
      </w:pPr>
      <w:r w:rsidRPr="00226BA2">
        <w:rPr>
          <w:b/>
          <w:bCs/>
        </w:rPr>
        <w:t>Dire straits</w:t>
      </w:r>
    </w:p>
    <w:p w14:paraId="05D8E504" w14:textId="77777777" w:rsidR="00226BA2" w:rsidRPr="00226BA2" w:rsidRDefault="00226BA2" w:rsidP="00226BA2">
      <w:r w:rsidRPr="00226BA2">
        <w:t>The global oil market is contending with the ramifications of the war in the Middle East. Beyond the direct damage to energy infrastructure in the region, the crisis has led to a near halt in tanker movements through the Strait of Hormuz. With nearly 20 mb/d of crude and product exports currently disrupted and limited alternative options to bypass the world’s most critical oil transit chokepoint, producers and consumers globally are feeling the strain. Benchmark crude oil prices have surged by $20/</w:t>
      </w:r>
      <w:proofErr w:type="spellStart"/>
      <w:r w:rsidRPr="00226BA2">
        <w:t>bbl</w:t>
      </w:r>
      <w:proofErr w:type="spellEnd"/>
      <w:r w:rsidRPr="00226BA2">
        <w:t xml:space="preserve"> to $92/</w:t>
      </w:r>
      <w:proofErr w:type="spellStart"/>
      <w:r w:rsidRPr="00226BA2">
        <w:t>bbl</w:t>
      </w:r>
      <w:proofErr w:type="spellEnd"/>
      <w:r w:rsidRPr="00226BA2">
        <w:t xml:space="preserve"> since the outbreak of hostilities on 28 February, with even bigger increases across product markets.</w:t>
      </w:r>
    </w:p>
    <w:p w14:paraId="6CD681F9" w14:textId="77777777" w:rsidR="00226BA2" w:rsidRPr="00226BA2" w:rsidRDefault="00226BA2" w:rsidP="00226BA2">
      <w:r w:rsidRPr="00226BA2">
        <w:t xml:space="preserve">With few ships currently able or willing to load cargoes at port, and domestic storage tanks filling up, producers in the region are reducing or shutting in production. While the situation on the ground is fast evolving and at times opaque, we estimate that crude production is currently being curtailed by at least 8 mb/d, with a further 2 mb/d of condensates and </w:t>
      </w:r>
      <w:proofErr w:type="spellStart"/>
      <w:r w:rsidRPr="00226BA2">
        <w:t>NGLs</w:t>
      </w:r>
      <w:proofErr w:type="spellEnd"/>
      <w:r w:rsidRPr="00226BA2">
        <w:t xml:space="preserve"> shut in. Major supply reductions are seen in Iraq, Qatar, Kuwait, the UAE and Saudi Arabia.</w:t>
      </w:r>
    </w:p>
    <w:p w14:paraId="7C451E25" w14:textId="77777777" w:rsidR="00226BA2" w:rsidRPr="00226BA2" w:rsidRDefault="00226BA2" w:rsidP="00226BA2">
      <w:r w:rsidRPr="00226BA2">
        <w:t>Disruptions are not limited to upstream production and exports, with several refineries and gas processing facilities shut down due to attacks or for safety concerns. The closure of the Strait is also forcing export-oriented refineries to cut runs or shut completely as product storage tanks top up, with more than 4 mb/d of refining capacity at risk. Gulf producers exported roughly 3.3 mb/d of refined products, and 1.5 mb/d of LPG in 2025. While additional throughputs in other regions are possible, feedstock availability will be a limiting factor. This has prompted some countries to implement product exports restrictions. Diesel and jet fuel markets look to be particularly vulnerable to an extended loss of Middle East production and exports, given limited flexibility elsewhere to increase output.</w:t>
      </w:r>
    </w:p>
    <w:p w14:paraId="02A278D7" w14:textId="77777777" w:rsidR="00226BA2" w:rsidRPr="00226BA2" w:rsidRDefault="00226BA2" w:rsidP="00226BA2">
      <w:r w:rsidRPr="00226BA2">
        <w:t xml:space="preserve">Meanwhile, the suspension of flights at major airports in the Middle East, with a knock-on effect on hubs elsewhere, has materially reduced global jet fuel demand. Plunging LPG and naphtha supplies are already forcing petrochemical plants to curb their production of polymers, aggravating the loss of Gulf petrochemical flows. LPG use in cooking and heating, especially in India and East Africa, is also at risk. More broadly, higher oil prices and a deteriorating economic outlook have begun to erode demand across the product spectrum. In this context, we have </w:t>
      </w:r>
      <w:r w:rsidRPr="00226BA2">
        <w:lastRenderedPageBreak/>
        <w:t>reduced the forecast for global oil demand growth in March and April by more than 1 mb/d on average – and for 2026 as a whole by 210 kb/d to 640 kb/d.</w:t>
      </w:r>
    </w:p>
    <w:p w14:paraId="2E028C46" w14:textId="77777777" w:rsidR="00226BA2" w:rsidRPr="00226BA2" w:rsidRDefault="00226BA2" w:rsidP="00226BA2">
      <w:r w:rsidRPr="00226BA2">
        <w:t>Consumer countries have significant amounts of oil in storage to bridge temporary supply losses. Global observed inventories of crude and products are currently assessed at more than 8.2 billion barrels, the highest level since February 2021. Roughly half of these are held in OECD countries, of which 1.25 billion barrels by governments for emergency purposes, with a further 600 million barrels of industry stocks held under government obligation.</w:t>
      </w:r>
    </w:p>
    <w:p w14:paraId="32CC2DCD" w14:textId="77777777" w:rsidR="00226BA2" w:rsidRPr="00226BA2" w:rsidRDefault="00226BA2" w:rsidP="00226BA2">
      <w:r w:rsidRPr="00226BA2">
        <w:t>IEA member countries agreed on 11 March to make available an unprecedented 400 mb of oil from their emergency reserves available to the market to mitigate the negative impact on economies from the supply disruptions. These additional oil supplies will be offered to the market by implementing emergency stock draws or other measures, according to national circumstances.</w:t>
      </w:r>
    </w:p>
    <w:p w14:paraId="5E05F02E" w14:textId="77777777" w:rsidR="00226BA2" w:rsidRPr="00226BA2" w:rsidRDefault="00226BA2" w:rsidP="00226BA2">
      <w:r w:rsidRPr="00226BA2">
        <w:t xml:space="preserve">The </w:t>
      </w:r>
      <w:proofErr w:type="spellStart"/>
      <w:r w:rsidRPr="00226BA2">
        <w:t>co-ordinated</w:t>
      </w:r>
      <w:proofErr w:type="spellEnd"/>
      <w:r w:rsidRPr="00226BA2">
        <w:t xml:space="preserve"> emergency stock release provides a significant and welcome buffer, but in the absence of a swift resolution to the conflict, it remains a stop-gap measure. The ultimate impact on oil and gas markets and the broader economy from the conflict will depend not only on the intensity of military attacks and any damage to energy assets, but also, crucially, on the duration of disruptions to shipping through the Strait of Hormuz. Adequate insurance mechanisms and physical protection for shipping are key to the resumption of flows, which is of paramount importance for the oil market.</w:t>
      </w:r>
    </w:p>
    <w:p w14:paraId="24DC0555" w14:textId="77777777" w:rsidR="00226BA2" w:rsidRPr="00226BA2" w:rsidRDefault="00226BA2" w:rsidP="00226BA2">
      <w:r w:rsidRPr="00226BA2">
        <w:rPr>
          <w:b/>
          <w:bCs/>
        </w:rPr>
        <w:t>OPEC+ crude oil production</w:t>
      </w:r>
      <w:r w:rsidRPr="00226BA2">
        <w:rPr>
          <w:vertAlign w:val="superscript"/>
        </w:rPr>
        <w:t>1</w:t>
      </w:r>
      <w:r w:rsidRPr="00226BA2">
        <w:br/>
      </w:r>
      <w:r w:rsidRPr="00226BA2">
        <w:rPr>
          <w:i/>
          <w:iCs/>
        </w:rPr>
        <w:t>million barrels per day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4"/>
        <w:gridCol w:w="905"/>
        <w:gridCol w:w="931"/>
        <w:gridCol w:w="924"/>
        <w:gridCol w:w="1477"/>
        <w:gridCol w:w="1210"/>
        <w:gridCol w:w="1289"/>
      </w:tblGrid>
      <w:tr w:rsidR="00226BA2" w:rsidRPr="00226BA2" w14:paraId="1DF8A5A4" w14:textId="77777777">
        <w:trPr>
          <w:tblHeader/>
          <w:tblCellSpacing w:w="15" w:type="dxa"/>
        </w:trPr>
        <w:tc>
          <w:tcPr>
            <w:tcW w:w="0" w:type="auto"/>
            <w:vAlign w:val="center"/>
            <w:hideMark/>
          </w:tcPr>
          <w:p w14:paraId="27C54195" w14:textId="77777777" w:rsidR="00226BA2" w:rsidRPr="00226BA2" w:rsidRDefault="00226BA2" w:rsidP="00226BA2"/>
        </w:tc>
        <w:tc>
          <w:tcPr>
            <w:tcW w:w="0" w:type="auto"/>
            <w:vAlign w:val="center"/>
            <w:hideMark/>
          </w:tcPr>
          <w:p w14:paraId="5571B157" w14:textId="77777777" w:rsidR="00226BA2" w:rsidRPr="00226BA2" w:rsidRDefault="00226BA2" w:rsidP="00226BA2">
            <w:pPr>
              <w:rPr>
                <w:b/>
                <w:bCs/>
              </w:rPr>
            </w:pPr>
            <w:r w:rsidRPr="00226BA2">
              <w:rPr>
                <w:b/>
                <w:bCs/>
              </w:rPr>
              <w:t>Jan 2026</w:t>
            </w:r>
            <w:r w:rsidRPr="00226BA2">
              <w:rPr>
                <w:b/>
                <w:bCs/>
              </w:rPr>
              <w:br/>
              <w:t>Supply</w:t>
            </w:r>
          </w:p>
        </w:tc>
        <w:tc>
          <w:tcPr>
            <w:tcW w:w="0" w:type="auto"/>
            <w:vAlign w:val="center"/>
            <w:hideMark/>
          </w:tcPr>
          <w:p w14:paraId="05AD4A00" w14:textId="77777777" w:rsidR="00226BA2" w:rsidRPr="00226BA2" w:rsidRDefault="00226BA2" w:rsidP="00226BA2">
            <w:pPr>
              <w:rPr>
                <w:b/>
                <w:bCs/>
              </w:rPr>
            </w:pPr>
            <w:r w:rsidRPr="00226BA2">
              <w:rPr>
                <w:b/>
                <w:bCs/>
              </w:rPr>
              <w:t>Feb 2026</w:t>
            </w:r>
            <w:r w:rsidRPr="00226BA2">
              <w:rPr>
                <w:b/>
                <w:bCs/>
              </w:rPr>
              <w:br/>
              <w:t>Supply</w:t>
            </w:r>
          </w:p>
        </w:tc>
        <w:tc>
          <w:tcPr>
            <w:tcW w:w="0" w:type="auto"/>
            <w:vAlign w:val="center"/>
            <w:hideMark/>
          </w:tcPr>
          <w:p w14:paraId="63FC8AFC" w14:textId="77777777" w:rsidR="00226BA2" w:rsidRPr="00226BA2" w:rsidRDefault="00226BA2" w:rsidP="00226BA2">
            <w:pPr>
              <w:rPr>
                <w:b/>
                <w:bCs/>
              </w:rPr>
            </w:pPr>
            <w:r w:rsidRPr="00226BA2">
              <w:rPr>
                <w:b/>
                <w:bCs/>
              </w:rPr>
              <w:t>Feb 2026</w:t>
            </w:r>
            <w:r w:rsidRPr="00226BA2">
              <w:rPr>
                <w:b/>
                <w:bCs/>
              </w:rPr>
              <w:br/>
              <w:t>vs Target</w:t>
            </w:r>
          </w:p>
        </w:tc>
        <w:tc>
          <w:tcPr>
            <w:tcW w:w="0" w:type="auto"/>
            <w:vAlign w:val="center"/>
            <w:hideMark/>
          </w:tcPr>
          <w:p w14:paraId="6A6CCD18" w14:textId="77777777" w:rsidR="00226BA2" w:rsidRPr="00226BA2" w:rsidRDefault="00226BA2" w:rsidP="00226BA2">
            <w:pPr>
              <w:rPr>
                <w:b/>
                <w:bCs/>
              </w:rPr>
            </w:pPr>
            <w:r w:rsidRPr="00226BA2">
              <w:rPr>
                <w:b/>
                <w:bCs/>
              </w:rPr>
              <w:t>Feb 2026</w:t>
            </w:r>
            <w:r w:rsidRPr="00226BA2">
              <w:rPr>
                <w:b/>
                <w:bCs/>
              </w:rPr>
              <w:br/>
              <w:t>Implied Target</w:t>
            </w:r>
            <w:r w:rsidRPr="00226BA2">
              <w:rPr>
                <w:b/>
                <w:bCs/>
                <w:vertAlign w:val="superscript"/>
              </w:rPr>
              <w:t>1</w:t>
            </w:r>
          </w:p>
        </w:tc>
        <w:tc>
          <w:tcPr>
            <w:tcW w:w="0" w:type="auto"/>
            <w:vAlign w:val="center"/>
            <w:hideMark/>
          </w:tcPr>
          <w:p w14:paraId="6B0512F8" w14:textId="77777777" w:rsidR="00226BA2" w:rsidRPr="00226BA2" w:rsidRDefault="00226BA2" w:rsidP="00226BA2">
            <w:pPr>
              <w:rPr>
                <w:b/>
                <w:bCs/>
              </w:rPr>
            </w:pPr>
            <w:r w:rsidRPr="00226BA2">
              <w:rPr>
                <w:b/>
                <w:bCs/>
              </w:rPr>
              <w:t>Sustainable</w:t>
            </w:r>
            <w:r w:rsidRPr="00226BA2">
              <w:rPr>
                <w:b/>
                <w:bCs/>
              </w:rPr>
              <w:br/>
              <w:t>Capacity</w:t>
            </w:r>
            <w:r w:rsidRPr="00226BA2">
              <w:rPr>
                <w:b/>
                <w:bCs/>
                <w:vertAlign w:val="superscript"/>
              </w:rPr>
              <w:t>2</w:t>
            </w:r>
          </w:p>
        </w:tc>
        <w:tc>
          <w:tcPr>
            <w:tcW w:w="0" w:type="auto"/>
            <w:vAlign w:val="center"/>
            <w:hideMark/>
          </w:tcPr>
          <w:p w14:paraId="3CB59A99" w14:textId="77777777" w:rsidR="00226BA2" w:rsidRPr="00226BA2" w:rsidRDefault="00226BA2" w:rsidP="00226BA2">
            <w:pPr>
              <w:rPr>
                <w:b/>
                <w:bCs/>
              </w:rPr>
            </w:pPr>
            <w:r w:rsidRPr="00226BA2">
              <w:rPr>
                <w:b/>
                <w:bCs/>
              </w:rPr>
              <w:t>Eff Spare Cap</w:t>
            </w:r>
            <w:r w:rsidRPr="00226BA2">
              <w:rPr>
                <w:b/>
                <w:bCs/>
              </w:rPr>
              <w:br/>
              <w:t>vs Feb</w:t>
            </w:r>
            <w:r w:rsidRPr="00226BA2">
              <w:rPr>
                <w:b/>
                <w:bCs/>
                <w:vertAlign w:val="superscript"/>
              </w:rPr>
              <w:t>3</w:t>
            </w:r>
          </w:p>
        </w:tc>
      </w:tr>
      <w:tr w:rsidR="00226BA2" w:rsidRPr="00226BA2" w14:paraId="0EA986B9" w14:textId="77777777">
        <w:trPr>
          <w:tblCellSpacing w:w="15" w:type="dxa"/>
        </w:trPr>
        <w:tc>
          <w:tcPr>
            <w:tcW w:w="0" w:type="auto"/>
            <w:vAlign w:val="center"/>
            <w:hideMark/>
          </w:tcPr>
          <w:p w14:paraId="66F7580C" w14:textId="77777777" w:rsidR="00226BA2" w:rsidRPr="00226BA2" w:rsidRDefault="00226BA2" w:rsidP="00226BA2">
            <w:r w:rsidRPr="00226BA2">
              <w:t>Algeria</w:t>
            </w:r>
          </w:p>
        </w:tc>
        <w:tc>
          <w:tcPr>
            <w:tcW w:w="0" w:type="auto"/>
            <w:vAlign w:val="center"/>
            <w:hideMark/>
          </w:tcPr>
          <w:p w14:paraId="39F9AB89" w14:textId="77777777" w:rsidR="00226BA2" w:rsidRPr="00226BA2" w:rsidRDefault="00226BA2" w:rsidP="00226BA2">
            <w:r w:rsidRPr="00226BA2">
              <w:t>0.96</w:t>
            </w:r>
          </w:p>
        </w:tc>
        <w:tc>
          <w:tcPr>
            <w:tcW w:w="0" w:type="auto"/>
            <w:vAlign w:val="center"/>
            <w:hideMark/>
          </w:tcPr>
          <w:p w14:paraId="3A36852E" w14:textId="77777777" w:rsidR="00226BA2" w:rsidRPr="00226BA2" w:rsidRDefault="00226BA2" w:rsidP="00226BA2">
            <w:r w:rsidRPr="00226BA2">
              <w:t>0.96</w:t>
            </w:r>
          </w:p>
        </w:tc>
        <w:tc>
          <w:tcPr>
            <w:tcW w:w="0" w:type="auto"/>
            <w:vAlign w:val="center"/>
            <w:hideMark/>
          </w:tcPr>
          <w:p w14:paraId="58A00A74" w14:textId="77777777" w:rsidR="00226BA2" w:rsidRPr="00226BA2" w:rsidRDefault="00226BA2" w:rsidP="00226BA2">
            <w:r w:rsidRPr="00226BA2">
              <w:t>-0.01</w:t>
            </w:r>
          </w:p>
        </w:tc>
        <w:tc>
          <w:tcPr>
            <w:tcW w:w="0" w:type="auto"/>
            <w:vAlign w:val="center"/>
            <w:hideMark/>
          </w:tcPr>
          <w:p w14:paraId="0EBDEEB1" w14:textId="77777777" w:rsidR="00226BA2" w:rsidRPr="00226BA2" w:rsidRDefault="00226BA2" w:rsidP="00226BA2">
            <w:r w:rsidRPr="00226BA2">
              <w:t>0.97</w:t>
            </w:r>
          </w:p>
        </w:tc>
        <w:tc>
          <w:tcPr>
            <w:tcW w:w="0" w:type="auto"/>
            <w:vAlign w:val="center"/>
            <w:hideMark/>
          </w:tcPr>
          <w:p w14:paraId="277ABB05" w14:textId="77777777" w:rsidR="00226BA2" w:rsidRPr="00226BA2" w:rsidRDefault="00226BA2" w:rsidP="00226BA2">
            <w:r w:rsidRPr="00226BA2">
              <w:t>0.99</w:t>
            </w:r>
          </w:p>
        </w:tc>
        <w:tc>
          <w:tcPr>
            <w:tcW w:w="0" w:type="auto"/>
            <w:vAlign w:val="center"/>
            <w:hideMark/>
          </w:tcPr>
          <w:p w14:paraId="2A656391" w14:textId="77777777" w:rsidR="00226BA2" w:rsidRPr="00226BA2" w:rsidRDefault="00226BA2" w:rsidP="00226BA2">
            <w:r w:rsidRPr="00226BA2">
              <w:t>0.02</w:t>
            </w:r>
          </w:p>
        </w:tc>
      </w:tr>
      <w:tr w:rsidR="00226BA2" w:rsidRPr="00226BA2" w14:paraId="1D59BF96" w14:textId="77777777">
        <w:trPr>
          <w:tblCellSpacing w:w="15" w:type="dxa"/>
        </w:trPr>
        <w:tc>
          <w:tcPr>
            <w:tcW w:w="0" w:type="auto"/>
            <w:vAlign w:val="center"/>
            <w:hideMark/>
          </w:tcPr>
          <w:p w14:paraId="18A220E8" w14:textId="77777777" w:rsidR="00226BA2" w:rsidRPr="00226BA2" w:rsidRDefault="00226BA2" w:rsidP="00226BA2">
            <w:r w:rsidRPr="00226BA2">
              <w:t>Congo</w:t>
            </w:r>
          </w:p>
        </w:tc>
        <w:tc>
          <w:tcPr>
            <w:tcW w:w="0" w:type="auto"/>
            <w:vAlign w:val="center"/>
            <w:hideMark/>
          </w:tcPr>
          <w:p w14:paraId="1ED51284" w14:textId="77777777" w:rsidR="00226BA2" w:rsidRPr="00226BA2" w:rsidRDefault="00226BA2" w:rsidP="00226BA2">
            <w:r w:rsidRPr="00226BA2">
              <w:t>0.27</w:t>
            </w:r>
          </w:p>
        </w:tc>
        <w:tc>
          <w:tcPr>
            <w:tcW w:w="0" w:type="auto"/>
            <w:vAlign w:val="center"/>
            <w:hideMark/>
          </w:tcPr>
          <w:p w14:paraId="6F340833" w14:textId="77777777" w:rsidR="00226BA2" w:rsidRPr="00226BA2" w:rsidRDefault="00226BA2" w:rsidP="00226BA2">
            <w:r w:rsidRPr="00226BA2">
              <w:t>0.28</w:t>
            </w:r>
          </w:p>
        </w:tc>
        <w:tc>
          <w:tcPr>
            <w:tcW w:w="0" w:type="auto"/>
            <w:vAlign w:val="center"/>
            <w:hideMark/>
          </w:tcPr>
          <w:p w14:paraId="3A2B79D9" w14:textId="77777777" w:rsidR="00226BA2" w:rsidRPr="00226BA2" w:rsidRDefault="00226BA2" w:rsidP="00226BA2">
            <w:r w:rsidRPr="00226BA2">
              <w:t>0.0</w:t>
            </w:r>
          </w:p>
        </w:tc>
        <w:tc>
          <w:tcPr>
            <w:tcW w:w="0" w:type="auto"/>
            <w:vAlign w:val="center"/>
            <w:hideMark/>
          </w:tcPr>
          <w:p w14:paraId="30EE5446" w14:textId="77777777" w:rsidR="00226BA2" w:rsidRPr="00226BA2" w:rsidRDefault="00226BA2" w:rsidP="00226BA2">
            <w:r w:rsidRPr="00226BA2">
              <w:t>0.28</w:t>
            </w:r>
          </w:p>
        </w:tc>
        <w:tc>
          <w:tcPr>
            <w:tcW w:w="0" w:type="auto"/>
            <w:vAlign w:val="center"/>
            <w:hideMark/>
          </w:tcPr>
          <w:p w14:paraId="4223BE1F" w14:textId="77777777" w:rsidR="00226BA2" w:rsidRPr="00226BA2" w:rsidRDefault="00226BA2" w:rsidP="00226BA2">
            <w:r w:rsidRPr="00226BA2">
              <w:t>0.27</w:t>
            </w:r>
          </w:p>
        </w:tc>
        <w:tc>
          <w:tcPr>
            <w:tcW w:w="0" w:type="auto"/>
            <w:vAlign w:val="center"/>
            <w:hideMark/>
          </w:tcPr>
          <w:p w14:paraId="70418A0B" w14:textId="77777777" w:rsidR="00226BA2" w:rsidRPr="00226BA2" w:rsidRDefault="00226BA2" w:rsidP="00226BA2">
            <w:r w:rsidRPr="00226BA2">
              <w:t>0</w:t>
            </w:r>
          </w:p>
        </w:tc>
      </w:tr>
      <w:tr w:rsidR="00226BA2" w:rsidRPr="00226BA2" w14:paraId="0359A153" w14:textId="77777777">
        <w:trPr>
          <w:tblCellSpacing w:w="15" w:type="dxa"/>
        </w:trPr>
        <w:tc>
          <w:tcPr>
            <w:tcW w:w="0" w:type="auto"/>
            <w:vAlign w:val="center"/>
            <w:hideMark/>
          </w:tcPr>
          <w:p w14:paraId="17178D13" w14:textId="77777777" w:rsidR="00226BA2" w:rsidRPr="00226BA2" w:rsidRDefault="00226BA2" w:rsidP="00226BA2">
            <w:r w:rsidRPr="00226BA2">
              <w:t>Equatorial Guinea</w:t>
            </w:r>
          </w:p>
        </w:tc>
        <w:tc>
          <w:tcPr>
            <w:tcW w:w="0" w:type="auto"/>
            <w:vAlign w:val="center"/>
            <w:hideMark/>
          </w:tcPr>
          <w:p w14:paraId="7D8BD27D" w14:textId="77777777" w:rsidR="00226BA2" w:rsidRPr="00226BA2" w:rsidRDefault="00226BA2" w:rsidP="00226BA2">
            <w:r w:rsidRPr="00226BA2">
              <w:t>0.05</w:t>
            </w:r>
          </w:p>
        </w:tc>
        <w:tc>
          <w:tcPr>
            <w:tcW w:w="0" w:type="auto"/>
            <w:vAlign w:val="center"/>
            <w:hideMark/>
          </w:tcPr>
          <w:p w14:paraId="7816F546" w14:textId="77777777" w:rsidR="00226BA2" w:rsidRPr="00226BA2" w:rsidRDefault="00226BA2" w:rsidP="00226BA2">
            <w:r w:rsidRPr="00226BA2">
              <w:t>0.06</w:t>
            </w:r>
          </w:p>
        </w:tc>
        <w:tc>
          <w:tcPr>
            <w:tcW w:w="0" w:type="auto"/>
            <w:vAlign w:val="center"/>
            <w:hideMark/>
          </w:tcPr>
          <w:p w14:paraId="23CC85FA" w14:textId="77777777" w:rsidR="00226BA2" w:rsidRPr="00226BA2" w:rsidRDefault="00226BA2" w:rsidP="00226BA2">
            <w:r w:rsidRPr="00226BA2">
              <w:t>-0.01</w:t>
            </w:r>
          </w:p>
        </w:tc>
        <w:tc>
          <w:tcPr>
            <w:tcW w:w="0" w:type="auto"/>
            <w:vAlign w:val="center"/>
            <w:hideMark/>
          </w:tcPr>
          <w:p w14:paraId="783C91EC" w14:textId="77777777" w:rsidR="00226BA2" w:rsidRPr="00226BA2" w:rsidRDefault="00226BA2" w:rsidP="00226BA2">
            <w:r w:rsidRPr="00226BA2">
              <w:t>0.07</w:t>
            </w:r>
          </w:p>
        </w:tc>
        <w:tc>
          <w:tcPr>
            <w:tcW w:w="0" w:type="auto"/>
            <w:vAlign w:val="center"/>
            <w:hideMark/>
          </w:tcPr>
          <w:p w14:paraId="46B6FD3A" w14:textId="77777777" w:rsidR="00226BA2" w:rsidRPr="00226BA2" w:rsidRDefault="00226BA2" w:rsidP="00226BA2">
            <w:r w:rsidRPr="00226BA2">
              <w:t>0.06</w:t>
            </w:r>
          </w:p>
        </w:tc>
        <w:tc>
          <w:tcPr>
            <w:tcW w:w="0" w:type="auto"/>
            <w:vAlign w:val="center"/>
            <w:hideMark/>
          </w:tcPr>
          <w:p w14:paraId="751D6286" w14:textId="77777777" w:rsidR="00226BA2" w:rsidRPr="00226BA2" w:rsidRDefault="00226BA2" w:rsidP="00226BA2">
            <w:r w:rsidRPr="00226BA2">
              <w:t>0.0</w:t>
            </w:r>
          </w:p>
        </w:tc>
      </w:tr>
      <w:tr w:rsidR="00226BA2" w:rsidRPr="00226BA2" w14:paraId="3C0910BD" w14:textId="77777777">
        <w:trPr>
          <w:tblCellSpacing w:w="15" w:type="dxa"/>
        </w:trPr>
        <w:tc>
          <w:tcPr>
            <w:tcW w:w="0" w:type="auto"/>
            <w:vAlign w:val="center"/>
            <w:hideMark/>
          </w:tcPr>
          <w:p w14:paraId="208E9D55" w14:textId="77777777" w:rsidR="00226BA2" w:rsidRPr="00226BA2" w:rsidRDefault="00226BA2" w:rsidP="00226BA2">
            <w:r w:rsidRPr="00226BA2">
              <w:t>Gabon</w:t>
            </w:r>
          </w:p>
        </w:tc>
        <w:tc>
          <w:tcPr>
            <w:tcW w:w="0" w:type="auto"/>
            <w:vAlign w:val="center"/>
            <w:hideMark/>
          </w:tcPr>
          <w:p w14:paraId="1A3697DA" w14:textId="77777777" w:rsidR="00226BA2" w:rsidRPr="00226BA2" w:rsidRDefault="00226BA2" w:rsidP="00226BA2">
            <w:r w:rsidRPr="00226BA2">
              <w:t>0.24</w:t>
            </w:r>
          </w:p>
        </w:tc>
        <w:tc>
          <w:tcPr>
            <w:tcW w:w="0" w:type="auto"/>
            <w:vAlign w:val="center"/>
            <w:hideMark/>
          </w:tcPr>
          <w:p w14:paraId="3B6C5518" w14:textId="77777777" w:rsidR="00226BA2" w:rsidRPr="00226BA2" w:rsidRDefault="00226BA2" w:rsidP="00226BA2">
            <w:r w:rsidRPr="00226BA2">
              <w:t>0.2</w:t>
            </w:r>
          </w:p>
        </w:tc>
        <w:tc>
          <w:tcPr>
            <w:tcW w:w="0" w:type="auto"/>
            <w:vAlign w:val="center"/>
            <w:hideMark/>
          </w:tcPr>
          <w:p w14:paraId="46095DD3" w14:textId="77777777" w:rsidR="00226BA2" w:rsidRPr="00226BA2" w:rsidRDefault="00226BA2" w:rsidP="00226BA2">
            <w:r w:rsidRPr="00226BA2">
              <w:t>0.02</w:t>
            </w:r>
          </w:p>
        </w:tc>
        <w:tc>
          <w:tcPr>
            <w:tcW w:w="0" w:type="auto"/>
            <w:vAlign w:val="center"/>
            <w:hideMark/>
          </w:tcPr>
          <w:p w14:paraId="706134E7" w14:textId="77777777" w:rsidR="00226BA2" w:rsidRPr="00226BA2" w:rsidRDefault="00226BA2" w:rsidP="00226BA2">
            <w:r w:rsidRPr="00226BA2">
              <w:t>0.18</w:t>
            </w:r>
          </w:p>
        </w:tc>
        <w:tc>
          <w:tcPr>
            <w:tcW w:w="0" w:type="auto"/>
            <w:vAlign w:val="center"/>
            <w:hideMark/>
          </w:tcPr>
          <w:p w14:paraId="5C37662C" w14:textId="77777777" w:rsidR="00226BA2" w:rsidRPr="00226BA2" w:rsidRDefault="00226BA2" w:rsidP="00226BA2">
            <w:r w:rsidRPr="00226BA2">
              <w:t>0.22</w:t>
            </w:r>
          </w:p>
        </w:tc>
        <w:tc>
          <w:tcPr>
            <w:tcW w:w="0" w:type="auto"/>
            <w:vAlign w:val="center"/>
            <w:hideMark/>
          </w:tcPr>
          <w:p w14:paraId="54578152" w14:textId="77777777" w:rsidR="00226BA2" w:rsidRPr="00226BA2" w:rsidRDefault="00226BA2" w:rsidP="00226BA2">
            <w:r w:rsidRPr="00226BA2">
              <w:t>0.02</w:t>
            </w:r>
          </w:p>
        </w:tc>
      </w:tr>
      <w:tr w:rsidR="00226BA2" w:rsidRPr="00226BA2" w14:paraId="753A0035" w14:textId="77777777">
        <w:trPr>
          <w:tblCellSpacing w:w="15" w:type="dxa"/>
        </w:trPr>
        <w:tc>
          <w:tcPr>
            <w:tcW w:w="0" w:type="auto"/>
            <w:vAlign w:val="center"/>
            <w:hideMark/>
          </w:tcPr>
          <w:p w14:paraId="42D3F65B" w14:textId="77777777" w:rsidR="00226BA2" w:rsidRPr="00226BA2" w:rsidRDefault="00226BA2" w:rsidP="00226BA2">
            <w:r w:rsidRPr="00226BA2">
              <w:t>Iraq</w:t>
            </w:r>
          </w:p>
        </w:tc>
        <w:tc>
          <w:tcPr>
            <w:tcW w:w="0" w:type="auto"/>
            <w:vAlign w:val="center"/>
            <w:hideMark/>
          </w:tcPr>
          <w:p w14:paraId="589ED6C6" w14:textId="77777777" w:rsidR="00226BA2" w:rsidRPr="00226BA2" w:rsidRDefault="00226BA2" w:rsidP="00226BA2">
            <w:r w:rsidRPr="00226BA2">
              <w:t>4.34</w:t>
            </w:r>
          </w:p>
        </w:tc>
        <w:tc>
          <w:tcPr>
            <w:tcW w:w="0" w:type="auto"/>
            <w:vAlign w:val="center"/>
            <w:hideMark/>
          </w:tcPr>
          <w:p w14:paraId="60A26256" w14:textId="77777777" w:rsidR="00226BA2" w:rsidRPr="00226BA2" w:rsidRDefault="00226BA2" w:rsidP="00226BA2">
            <w:r w:rsidRPr="00226BA2">
              <w:t>4.5</w:t>
            </w:r>
          </w:p>
        </w:tc>
        <w:tc>
          <w:tcPr>
            <w:tcW w:w="0" w:type="auto"/>
            <w:vAlign w:val="center"/>
            <w:hideMark/>
          </w:tcPr>
          <w:p w14:paraId="50A37979" w14:textId="77777777" w:rsidR="00226BA2" w:rsidRPr="00226BA2" w:rsidRDefault="00226BA2" w:rsidP="00226BA2">
            <w:r w:rsidRPr="00226BA2">
              <w:t>0.34</w:t>
            </w:r>
          </w:p>
        </w:tc>
        <w:tc>
          <w:tcPr>
            <w:tcW w:w="0" w:type="auto"/>
            <w:vAlign w:val="center"/>
            <w:hideMark/>
          </w:tcPr>
          <w:p w14:paraId="2A77F6F1" w14:textId="77777777" w:rsidR="00226BA2" w:rsidRPr="00226BA2" w:rsidRDefault="00226BA2" w:rsidP="00226BA2">
            <w:r w:rsidRPr="00226BA2">
              <w:t>4.16</w:t>
            </w:r>
          </w:p>
        </w:tc>
        <w:tc>
          <w:tcPr>
            <w:tcW w:w="0" w:type="auto"/>
            <w:vAlign w:val="center"/>
            <w:hideMark/>
          </w:tcPr>
          <w:p w14:paraId="5749492D" w14:textId="77777777" w:rsidR="00226BA2" w:rsidRPr="00226BA2" w:rsidRDefault="00226BA2" w:rsidP="00226BA2">
            <w:r w:rsidRPr="00226BA2">
              <w:t>4.87</w:t>
            </w:r>
          </w:p>
        </w:tc>
        <w:tc>
          <w:tcPr>
            <w:tcW w:w="0" w:type="auto"/>
            <w:vAlign w:val="center"/>
            <w:hideMark/>
          </w:tcPr>
          <w:p w14:paraId="31892415" w14:textId="77777777" w:rsidR="00226BA2" w:rsidRPr="00226BA2" w:rsidRDefault="00226BA2" w:rsidP="00226BA2">
            <w:r w:rsidRPr="00226BA2">
              <w:t>0.36</w:t>
            </w:r>
          </w:p>
        </w:tc>
      </w:tr>
      <w:tr w:rsidR="00226BA2" w:rsidRPr="00226BA2" w14:paraId="7A885101" w14:textId="77777777">
        <w:trPr>
          <w:tblCellSpacing w:w="15" w:type="dxa"/>
        </w:trPr>
        <w:tc>
          <w:tcPr>
            <w:tcW w:w="0" w:type="auto"/>
            <w:vAlign w:val="center"/>
            <w:hideMark/>
          </w:tcPr>
          <w:p w14:paraId="4D26F580" w14:textId="77777777" w:rsidR="00226BA2" w:rsidRPr="00226BA2" w:rsidRDefault="00226BA2" w:rsidP="00226BA2">
            <w:r w:rsidRPr="00226BA2">
              <w:t>Kuwait</w:t>
            </w:r>
          </w:p>
        </w:tc>
        <w:tc>
          <w:tcPr>
            <w:tcW w:w="0" w:type="auto"/>
            <w:vAlign w:val="center"/>
            <w:hideMark/>
          </w:tcPr>
          <w:p w14:paraId="6AA52044" w14:textId="77777777" w:rsidR="00226BA2" w:rsidRPr="00226BA2" w:rsidRDefault="00226BA2" w:rsidP="00226BA2">
            <w:r w:rsidRPr="00226BA2">
              <w:t>2.6</w:t>
            </w:r>
          </w:p>
        </w:tc>
        <w:tc>
          <w:tcPr>
            <w:tcW w:w="0" w:type="auto"/>
            <w:vAlign w:val="center"/>
            <w:hideMark/>
          </w:tcPr>
          <w:p w14:paraId="5BD3B8B4" w14:textId="77777777" w:rsidR="00226BA2" w:rsidRPr="00226BA2" w:rsidRDefault="00226BA2" w:rsidP="00226BA2">
            <w:r w:rsidRPr="00226BA2">
              <w:t>2.54</w:t>
            </w:r>
          </w:p>
        </w:tc>
        <w:tc>
          <w:tcPr>
            <w:tcW w:w="0" w:type="auto"/>
            <w:vAlign w:val="center"/>
            <w:hideMark/>
          </w:tcPr>
          <w:p w14:paraId="6461AFB9" w14:textId="77777777" w:rsidR="00226BA2" w:rsidRPr="00226BA2" w:rsidRDefault="00226BA2" w:rsidP="00226BA2">
            <w:r w:rsidRPr="00226BA2">
              <w:t>-0.04</w:t>
            </w:r>
          </w:p>
        </w:tc>
        <w:tc>
          <w:tcPr>
            <w:tcW w:w="0" w:type="auto"/>
            <w:vAlign w:val="center"/>
            <w:hideMark/>
          </w:tcPr>
          <w:p w14:paraId="129F4059" w14:textId="77777777" w:rsidR="00226BA2" w:rsidRPr="00226BA2" w:rsidRDefault="00226BA2" w:rsidP="00226BA2">
            <w:r w:rsidRPr="00226BA2">
              <w:t>2.58</w:t>
            </w:r>
          </w:p>
        </w:tc>
        <w:tc>
          <w:tcPr>
            <w:tcW w:w="0" w:type="auto"/>
            <w:vAlign w:val="center"/>
            <w:hideMark/>
          </w:tcPr>
          <w:p w14:paraId="02745EA4" w14:textId="77777777" w:rsidR="00226BA2" w:rsidRPr="00226BA2" w:rsidRDefault="00226BA2" w:rsidP="00226BA2">
            <w:r w:rsidRPr="00226BA2">
              <w:t>2.88</w:t>
            </w:r>
          </w:p>
        </w:tc>
        <w:tc>
          <w:tcPr>
            <w:tcW w:w="0" w:type="auto"/>
            <w:vAlign w:val="center"/>
            <w:hideMark/>
          </w:tcPr>
          <w:p w14:paraId="455F77EB" w14:textId="77777777" w:rsidR="00226BA2" w:rsidRPr="00226BA2" w:rsidRDefault="00226BA2" w:rsidP="00226BA2">
            <w:r w:rsidRPr="00226BA2">
              <w:t>0.34</w:t>
            </w:r>
          </w:p>
        </w:tc>
      </w:tr>
      <w:tr w:rsidR="00226BA2" w:rsidRPr="00226BA2" w14:paraId="1CF3B4DE" w14:textId="77777777">
        <w:trPr>
          <w:tblCellSpacing w:w="15" w:type="dxa"/>
        </w:trPr>
        <w:tc>
          <w:tcPr>
            <w:tcW w:w="0" w:type="auto"/>
            <w:vAlign w:val="center"/>
            <w:hideMark/>
          </w:tcPr>
          <w:p w14:paraId="5A989404" w14:textId="77777777" w:rsidR="00226BA2" w:rsidRPr="00226BA2" w:rsidRDefault="00226BA2" w:rsidP="00226BA2">
            <w:r w:rsidRPr="00226BA2">
              <w:lastRenderedPageBreak/>
              <w:t>Nigeria</w:t>
            </w:r>
          </w:p>
        </w:tc>
        <w:tc>
          <w:tcPr>
            <w:tcW w:w="0" w:type="auto"/>
            <w:vAlign w:val="center"/>
            <w:hideMark/>
          </w:tcPr>
          <w:p w14:paraId="2A7332A6" w14:textId="77777777" w:rsidR="00226BA2" w:rsidRPr="00226BA2" w:rsidRDefault="00226BA2" w:rsidP="00226BA2">
            <w:r w:rsidRPr="00226BA2">
              <w:t>1.46</w:t>
            </w:r>
          </w:p>
        </w:tc>
        <w:tc>
          <w:tcPr>
            <w:tcW w:w="0" w:type="auto"/>
            <w:vAlign w:val="center"/>
            <w:hideMark/>
          </w:tcPr>
          <w:p w14:paraId="206AD1F0" w14:textId="77777777" w:rsidR="00226BA2" w:rsidRPr="00226BA2" w:rsidRDefault="00226BA2" w:rsidP="00226BA2">
            <w:r w:rsidRPr="00226BA2">
              <w:t>1.44</w:t>
            </w:r>
          </w:p>
        </w:tc>
        <w:tc>
          <w:tcPr>
            <w:tcW w:w="0" w:type="auto"/>
            <w:vAlign w:val="center"/>
            <w:hideMark/>
          </w:tcPr>
          <w:p w14:paraId="3D04B08A" w14:textId="77777777" w:rsidR="00226BA2" w:rsidRPr="00226BA2" w:rsidRDefault="00226BA2" w:rsidP="00226BA2">
            <w:r w:rsidRPr="00226BA2">
              <w:t>-0.06</w:t>
            </w:r>
          </w:p>
        </w:tc>
        <w:tc>
          <w:tcPr>
            <w:tcW w:w="0" w:type="auto"/>
            <w:vAlign w:val="center"/>
            <w:hideMark/>
          </w:tcPr>
          <w:p w14:paraId="77F57B7E" w14:textId="77777777" w:rsidR="00226BA2" w:rsidRPr="00226BA2" w:rsidRDefault="00226BA2" w:rsidP="00226BA2">
            <w:r w:rsidRPr="00226BA2">
              <w:t>1.5</w:t>
            </w:r>
          </w:p>
        </w:tc>
        <w:tc>
          <w:tcPr>
            <w:tcW w:w="0" w:type="auto"/>
            <w:vAlign w:val="center"/>
            <w:hideMark/>
          </w:tcPr>
          <w:p w14:paraId="1F8F770E" w14:textId="77777777" w:rsidR="00226BA2" w:rsidRPr="00226BA2" w:rsidRDefault="00226BA2" w:rsidP="00226BA2">
            <w:r w:rsidRPr="00226BA2">
              <w:t>1.42</w:t>
            </w:r>
          </w:p>
        </w:tc>
        <w:tc>
          <w:tcPr>
            <w:tcW w:w="0" w:type="auto"/>
            <w:vAlign w:val="center"/>
            <w:hideMark/>
          </w:tcPr>
          <w:p w14:paraId="5DD70550" w14:textId="77777777" w:rsidR="00226BA2" w:rsidRPr="00226BA2" w:rsidRDefault="00226BA2" w:rsidP="00226BA2">
            <w:r w:rsidRPr="00226BA2">
              <w:t>0</w:t>
            </w:r>
          </w:p>
        </w:tc>
      </w:tr>
      <w:tr w:rsidR="00226BA2" w:rsidRPr="00226BA2" w14:paraId="08088FCE" w14:textId="77777777">
        <w:trPr>
          <w:tblCellSpacing w:w="15" w:type="dxa"/>
        </w:trPr>
        <w:tc>
          <w:tcPr>
            <w:tcW w:w="0" w:type="auto"/>
            <w:vAlign w:val="center"/>
            <w:hideMark/>
          </w:tcPr>
          <w:p w14:paraId="4C6E6437" w14:textId="77777777" w:rsidR="00226BA2" w:rsidRPr="00226BA2" w:rsidRDefault="00226BA2" w:rsidP="00226BA2">
            <w:r w:rsidRPr="00226BA2">
              <w:t>Saudi Arabia</w:t>
            </w:r>
          </w:p>
        </w:tc>
        <w:tc>
          <w:tcPr>
            <w:tcW w:w="0" w:type="auto"/>
            <w:vAlign w:val="center"/>
            <w:hideMark/>
          </w:tcPr>
          <w:p w14:paraId="42077B54" w14:textId="77777777" w:rsidR="00226BA2" w:rsidRPr="00226BA2" w:rsidRDefault="00226BA2" w:rsidP="00226BA2">
            <w:r w:rsidRPr="00226BA2">
              <w:t>10.3</w:t>
            </w:r>
          </w:p>
        </w:tc>
        <w:tc>
          <w:tcPr>
            <w:tcW w:w="0" w:type="auto"/>
            <w:vAlign w:val="center"/>
            <w:hideMark/>
          </w:tcPr>
          <w:p w14:paraId="34132E31" w14:textId="77777777" w:rsidR="00226BA2" w:rsidRPr="00226BA2" w:rsidRDefault="00226BA2" w:rsidP="00226BA2">
            <w:r w:rsidRPr="00226BA2">
              <w:t>10.4</w:t>
            </w:r>
          </w:p>
        </w:tc>
        <w:tc>
          <w:tcPr>
            <w:tcW w:w="0" w:type="auto"/>
            <w:vAlign w:val="center"/>
            <w:hideMark/>
          </w:tcPr>
          <w:p w14:paraId="5EDFDE1F" w14:textId="77777777" w:rsidR="00226BA2" w:rsidRPr="00226BA2" w:rsidRDefault="00226BA2" w:rsidP="00226BA2">
            <w:r w:rsidRPr="00226BA2">
              <w:t>0.3</w:t>
            </w:r>
          </w:p>
        </w:tc>
        <w:tc>
          <w:tcPr>
            <w:tcW w:w="0" w:type="auto"/>
            <w:vAlign w:val="center"/>
            <w:hideMark/>
          </w:tcPr>
          <w:p w14:paraId="4D5940AD" w14:textId="77777777" w:rsidR="00226BA2" w:rsidRPr="00226BA2" w:rsidRDefault="00226BA2" w:rsidP="00226BA2">
            <w:r w:rsidRPr="00226BA2">
              <w:t>10.1</w:t>
            </w:r>
          </w:p>
        </w:tc>
        <w:tc>
          <w:tcPr>
            <w:tcW w:w="0" w:type="auto"/>
            <w:vAlign w:val="center"/>
            <w:hideMark/>
          </w:tcPr>
          <w:p w14:paraId="7412F886" w14:textId="77777777" w:rsidR="00226BA2" w:rsidRPr="00226BA2" w:rsidRDefault="00226BA2" w:rsidP="00226BA2">
            <w:r w:rsidRPr="00226BA2">
              <w:t>12.11</w:t>
            </w:r>
          </w:p>
        </w:tc>
        <w:tc>
          <w:tcPr>
            <w:tcW w:w="0" w:type="auto"/>
            <w:vAlign w:val="center"/>
            <w:hideMark/>
          </w:tcPr>
          <w:p w14:paraId="16D5180E" w14:textId="77777777" w:rsidR="00226BA2" w:rsidRPr="00226BA2" w:rsidRDefault="00226BA2" w:rsidP="00226BA2">
            <w:r w:rsidRPr="00226BA2">
              <w:t>1.71</w:t>
            </w:r>
          </w:p>
        </w:tc>
      </w:tr>
      <w:tr w:rsidR="00226BA2" w:rsidRPr="00226BA2" w14:paraId="77BE48A8" w14:textId="77777777">
        <w:trPr>
          <w:tblCellSpacing w:w="15" w:type="dxa"/>
        </w:trPr>
        <w:tc>
          <w:tcPr>
            <w:tcW w:w="0" w:type="auto"/>
            <w:vAlign w:val="center"/>
            <w:hideMark/>
          </w:tcPr>
          <w:p w14:paraId="4B818696" w14:textId="77777777" w:rsidR="00226BA2" w:rsidRPr="00226BA2" w:rsidRDefault="00226BA2" w:rsidP="00226BA2">
            <w:r w:rsidRPr="00226BA2">
              <w:t>UAE</w:t>
            </w:r>
          </w:p>
        </w:tc>
        <w:tc>
          <w:tcPr>
            <w:tcW w:w="0" w:type="auto"/>
            <w:vAlign w:val="center"/>
            <w:hideMark/>
          </w:tcPr>
          <w:p w14:paraId="4314FD89" w14:textId="77777777" w:rsidR="00226BA2" w:rsidRPr="00226BA2" w:rsidRDefault="00226BA2" w:rsidP="00226BA2">
            <w:r w:rsidRPr="00226BA2">
              <w:t>3.6</w:t>
            </w:r>
          </w:p>
        </w:tc>
        <w:tc>
          <w:tcPr>
            <w:tcW w:w="0" w:type="auto"/>
            <w:vAlign w:val="center"/>
            <w:hideMark/>
          </w:tcPr>
          <w:p w14:paraId="174F50D5" w14:textId="77777777" w:rsidR="00226BA2" w:rsidRPr="00226BA2" w:rsidRDefault="00226BA2" w:rsidP="00226BA2">
            <w:r w:rsidRPr="00226BA2">
              <w:t>3.64</w:t>
            </w:r>
          </w:p>
        </w:tc>
        <w:tc>
          <w:tcPr>
            <w:tcW w:w="0" w:type="auto"/>
            <w:vAlign w:val="center"/>
            <w:hideMark/>
          </w:tcPr>
          <w:p w14:paraId="58DCA99C" w14:textId="77777777" w:rsidR="00226BA2" w:rsidRPr="00226BA2" w:rsidRDefault="00226BA2" w:rsidP="00226BA2">
            <w:r w:rsidRPr="00226BA2">
              <w:t>0.23</w:t>
            </w:r>
          </w:p>
        </w:tc>
        <w:tc>
          <w:tcPr>
            <w:tcW w:w="0" w:type="auto"/>
            <w:vAlign w:val="center"/>
            <w:hideMark/>
          </w:tcPr>
          <w:p w14:paraId="2463A249" w14:textId="77777777" w:rsidR="00226BA2" w:rsidRPr="00226BA2" w:rsidRDefault="00226BA2" w:rsidP="00226BA2">
            <w:r w:rsidRPr="00226BA2">
              <w:t>3.4</w:t>
            </w:r>
          </w:p>
        </w:tc>
        <w:tc>
          <w:tcPr>
            <w:tcW w:w="0" w:type="auto"/>
            <w:vAlign w:val="center"/>
            <w:hideMark/>
          </w:tcPr>
          <w:p w14:paraId="1D55917B" w14:textId="77777777" w:rsidR="00226BA2" w:rsidRPr="00226BA2" w:rsidRDefault="00226BA2" w:rsidP="00226BA2">
            <w:r w:rsidRPr="00226BA2">
              <w:t>4.28</w:t>
            </w:r>
          </w:p>
        </w:tc>
        <w:tc>
          <w:tcPr>
            <w:tcW w:w="0" w:type="auto"/>
            <w:vAlign w:val="center"/>
            <w:hideMark/>
          </w:tcPr>
          <w:p w14:paraId="76BACFAE" w14:textId="77777777" w:rsidR="00226BA2" w:rsidRPr="00226BA2" w:rsidRDefault="00226BA2" w:rsidP="00226BA2">
            <w:r w:rsidRPr="00226BA2">
              <w:t>0.64</w:t>
            </w:r>
          </w:p>
        </w:tc>
      </w:tr>
      <w:tr w:rsidR="00226BA2" w:rsidRPr="00226BA2" w14:paraId="39FFD81A" w14:textId="77777777">
        <w:trPr>
          <w:tblCellSpacing w:w="15" w:type="dxa"/>
        </w:trPr>
        <w:tc>
          <w:tcPr>
            <w:tcW w:w="0" w:type="auto"/>
            <w:shd w:val="clear" w:color="auto" w:fill="D9D9D9"/>
            <w:vAlign w:val="center"/>
            <w:hideMark/>
          </w:tcPr>
          <w:p w14:paraId="59F65E60" w14:textId="77777777" w:rsidR="00226BA2" w:rsidRPr="00226BA2" w:rsidRDefault="00226BA2" w:rsidP="00226BA2">
            <w:r w:rsidRPr="00226BA2">
              <w:rPr>
                <w:b/>
                <w:bCs/>
              </w:rPr>
              <w:t>Total OPEC-9</w:t>
            </w:r>
          </w:p>
        </w:tc>
        <w:tc>
          <w:tcPr>
            <w:tcW w:w="0" w:type="auto"/>
            <w:shd w:val="clear" w:color="auto" w:fill="D9D9D9"/>
            <w:vAlign w:val="center"/>
            <w:hideMark/>
          </w:tcPr>
          <w:p w14:paraId="5B8F60C4" w14:textId="77777777" w:rsidR="00226BA2" w:rsidRPr="00226BA2" w:rsidRDefault="00226BA2" w:rsidP="00226BA2">
            <w:r w:rsidRPr="00226BA2">
              <w:rPr>
                <w:b/>
                <w:bCs/>
              </w:rPr>
              <w:t>23.83</w:t>
            </w:r>
          </w:p>
        </w:tc>
        <w:tc>
          <w:tcPr>
            <w:tcW w:w="0" w:type="auto"/>
            <w:shd w:val="clear" w:color="auto" w:fill="D9D9D9"/>
            <w:vAlign w:val="center"/>
            <w:hideMark/>
          </w:tcPr>
          <w:p w14:paraId="26801B84" w14:textId="77777777" w:rsidR="00226BA2" w:rsidRPr="00226BA2" w:rsidRDefault="00226BA2" w:rsidP="00226BA2">
            <w:r w:rsidRPr="00226BA2">
              <w:rPr>
                <w:b/>
                <w:bCs/>
              </w:rPr>
              <w:t>24.02</w:t>
            </w:r>
          </w:p>
        </w:tc>
        <w:tc>
          <w:tcPr>
            <w:tcW w:w="0" w:type="auto"/>
            <w:shd w:val="clear" w:color="auto" w:fill="D9D9D9"/>
            <w:vAlign w:val="center"/>
            <w:hideMark/>
          </w:tcPr>
          <w:p w14:paraId="1BAC6867" w14:textId="77777777" w:rsidR="00226BA2" w:rsidRPr="00226BA2" w:rsidRDefault="00226BA2" w:rsidP="00226BA2">
            <w:r w:rsidRPr="00226BA2">
              <w:rPr>
                <w:b/>
                <w:bCs/>
              </w:rPr>
              <w:t>0.78</w:t>
            </w:r>
          </w:p>
        </w:tc>
        <w:tc>
          <w:tcPr>
            <w:tcW w:w="0" w:type="auto"/>
            <w:shd w:val="clear" w:color="auto" w:fill="D9D9D9"/>
            <w:vAlign w:val="center"/>
            <w:hideMark/>
          </w:tcPr>
          <w:p w14:paraId="402DFBE7" w14:textId="77777777" w:rsidR="00226BA2" w:rsidRPr="00226BA2" w:rsidRDefault="00226BA2" w:rsidP="00226BA2">
            <w:r w:rsidRPr="00226BA2">
              <w:rPr>
                <w:b/>
                <w:bCs/>
              </w:rPr>
              <w:t>23.24</w:t>
            </w:r>
          </w:p>
        </w:tc>
        <w:tc>
          <w:tcPr>
            <w:tcW w:w="0" w:type="auto"/>
            <w:shd w:val="clear" w:color="auto" w:fill="D9D9D9"/>
            <w:vAlign w:val="center"/>
            <w:hideMark/>
          </w:tcPr>
          <w:p w14:paraId="3F25A782" w14:textId="77777777" w:rsidR="00226BA2" w:rsidRPr="00226BA2" w:rsidRDefault="00226BA2" w:rsidP="00226BA2">
            <w:r w:rsidRPr="00226BA2">
              <w:rPr>
                <w:b/>
                <w:bCs/>
              </w:rPr>
              <w:t>27.1</w:t>
            </w:r>
          </w:p>
        </w:tc>
        <w:tc>
          <w:tcPr>
            <w:tcW w:w="0" w:type="auto"/>
            <w:shd w:val="clear" w:color="auto" w:fill="D9D9D9"/>
            <w:vAlign w:val="center"/>
            <w:hideMark/>
          </w:tcPr>
          <w:p w14:paraId="2297F0DB" w14:textId="77777777" w:rsidR="00226BA2" w:rsidRPr="00226BA2" w:rsidRDefault="00226BA2" w:rsidP="00226BA2">
            <w:r w:rsidRPr="00226BA2">
              <w:rPr>
                <w:b/>
                <w:bCs/>
              </w:rPr>
              <w:t>3.11</w:t>
            </w:r>
          </w:p>
        </w:tc>
      </w:tr>
      <w:tr w:rsidR="00226BA2" w:rsidRPr="00226BA2" w14:paraId="161D2441" w14:textId="77777777">
        <w:trPr>
          <w:tblCellSpacing w:w="15" w:type="dxa"/>
        </w:trPr>
        <w:tc>
          <w:tcPr>
            <w:tcW w:w="0" w:type="auto"/>
            <w:vAlign w:val="center"/>
            <w:hideMark/>
          </w:tcPr>
          <w:p w14:paraId="27122F6B" w14:textId="77777777" w:rsidR="00226BA2" w:rsidRPr="00226BA2" w:rsidRDefault="00226BA2" w:rsidP="00226BA2">
            <w:r w:rsidRPr="00226BA2">
              <w:t>Iran</w:t>
            </w:r>
            <w:r w:rsidRPr="00226BA2">
              <w:rPr>
                <w:vertAlign w:val="superscript"/>
              </w:rPr>
              <w:t>4</w:t>
            </w:r>
          </w:p>
        </w:tc>
        <w:tc>
          <w:tcPr>
            <w:tcW w:w="0" w:type="auto"/>
            <w:vAlign w:val="center"/>
            <w:hideMark/>
          </w:tcPr>
          <w:p w14:paraId="7FB1EAC4" w14:textId="77777777" w:rsidR="00226BA2" w:rsidRPr="00226BA2" w:rsidRDefault="00226BA2" w:rsidP="00226BA2">
            <w:r w:rsidRPr="00226BA2">
              <w:t>3.45</w:t>
            </w:r>
          </w:p>
        </w:tc>
        <w:tc>
          <w:tcPr>
            <w:tcW w:w="0" w:type="auto"/>
            <w:vAlign w:val="center"/>
            <w:hideMark/>
          </w:tcPr>
          <w:p w14:paraId="67886BAB" w14:textId="77777777" w:rsidR="00226BA2" w:rsidRPr="00226BA2" w:rsidRDefault="00226BA2" w:rsidP="00226BA2">
            <w:r w:rsidRPr="00226BA2">
              <w:t>3.59</w:t>
            </w:r>
          </w:p>
        </w:tc>
        <w:tc>
          <w:tcPr>
            <w:tcW w:w="0" w:type="auto"/>
            <w:vAlign w:val="center"/>
            <w:hideMark/>
          </w:tcPr>
          <w:p w14:paraId="779772BB" w14:textId="77777777" w:rsidR="00226BA2" w:rsidRPr="00226BA2" w:rsidRDefault="00226BA2" w:rsidP="00226BA2"/>
        </w:tc>
        <w:tc>
          <w:tcPr>
            <w:tcW w:w="0" w:type="auto"/>
            <w:vAlign w:val="center"/>
            <w:hideMark/>
          </w:tcPr>
          <w:p w14:paraId="08197A8E" w14:textId="77777777" w:rsidR="00226BA2" w:rsidRPr="00226BA2" w:rsidRDefault="00226BA2" w:rsidP="00226BA2"/>
        </w:tc>
        <w:tc>
          <w:tcPr>
            <w:tcW w:w="0" w:type="auto"/>
            <w:vAlign w:val="center"/>
            <w:hideMark/>
          </w:tcPr>
          <w:p w14:paraId="547F4E8F" w14:textId="77777777" w:rsidR="00226BA2" w:rsidRPr="00226BA2" w:rsidRDefault="00226BA2" w:rsidP="00226BA2">
            <w:r w:rsidRPr="00226BA2">
              <w:t>3.8</w:t>
            </w:r>
          </w:p>
        </w:tc>
        <w:tc>
          <w:tcPr>
            <w:tcW w:w="0" w:type="auto"/>
            <w:vAlign w:val="center"/>
            <w:hideMark/>
          </w:tcPr>
          <w:p w14:paraId="32F5ADE6" w14:textId="77777777" w:rsidR="00226BA2" w:rsidRPr="00226BA2" w:rsidRDefault="00226BA2" w:rsidP="00226BA2"/>
        </w:tc>
      </w:tr>
      <w:tr w:rsidR="00226BA2" w:rsidRPr="00226BA2" w14:paraId="59705B8C" w14:textId="77777777">
        <w:trPr>
          <w:tblCellSpacing w:w="15" w:type="dxa"/>
        </w:trPr>
        <w:tc>
          <w:tcPr>
            <w:tcW w:w="0" w:type="auto"/>
            <w:vAlign w:val="center"/>
            <w:hideMark/>
          </w:tcPr>
          <w:p w14:paraId="770480F7" w14:textId="77777777" w:rsidR="00226BA2" w:rsidRPr="00226BA2" w:rsidRDefault="00226BA2" w:rsidP="00226BA2">
            <w:r w:rsidRPr="00226BA2">
              <w:t>Libya</w:t>
            </w:r>
            <w:r w:rsidRPr="00226BA2">
              <w:rPr>
                <w:vertAlign w:val="superscript"/>
              </w:rPr>
              <w:t>4</w:t>
            </w:r>
          </w:p>
        </w:tc>
        <w:tc>
          <w:tcPr>
            <w:tcW w:w="0" w:type="auto"/>
            <w:vAlign w:val="center"/>
            <w:hideMark/>
          </w:tcPr>
          <w:p w14:paraId="02D47C25" w14:textId="77777777" w:rsidR="00226BA2" w:rsidRPr="00226BA2" w:rsidRDefault="00226BA2" w:rsidP="00226BA2">
            <w:r w:rsidRPr="00226BA2">
              <w:t>1.33</w:t>
            </w:r>
          </w:p>
        </w:tc>
        <w:tc>
          <w:tcPr>
            <w:tcW w:w="0" w:type="auto"/>
            <w:vAlign w:val="center"/>
            <w:hideMark/>
          </w:tcPr>
          <w:p w14:paraId="2CAB4706" w14:textId="77777777" w:rsidR="00226BA2" w:rsidRPr="00226BA2" w:rsidRDefault="00226BA2" w:rsidP="00226BA2">
            <w:r w:rsidRPr="00226BA2">
              <w:t>1.28</w:t>
            </w:r>
          </w:p>
        </w:tc>
        <w:tc>
          <w:tcPr>
            <w:tcW w:w="0" w:type="auto"/>
            <w:vAlign w:val="center"/>
            <w:hideMark/>
          </w:tcPr>
          <w:p w14:paraId="41D071C5" w14:textId="77777777" w:rsidR="00226BA2" w:rsidRPr="00226BA2" w:rsidRDefault="00226BA2" w:rsidP="00226BA2"/>
        </w:tc>
        <w:tc>
          <w:tcPr>
            <w:tcW w:w="0" w:type="auto"/>
            <w:vAlign w:val="center"/>
            <w:hideMark/>
          </w:tcPr>
          <w:p w14:paraId="74A97312" w14:textId="77777777" w:rsidR="00226BA2" w:rsidRPr="00226BA2" w:rsidRDefault="00226BA2" w:rsidP="00226BA2"/>
        </w:tc>
        <w:tc>
          <w:tcPr>
            <w:tcW w:w="0" w:type="auto"/>
            <w:vAlign w:val="center"/>
            <w:hideMark/>
          </w:tcPr>
          <w:p w14:paraId="23B077F2" w14:textId="77777777" w:rsidR="00226BA2" w:rsidRPr="00226BA2" w:rsidRDefault="00226BA2" w:rsidP="00226BA2">
            <w:r w:rsidRPr="00226BA2">
              <w:t>1.28</w:t>
            </w:r>
          </w:p>
        </w:tc>
        <w:tc>
          <w:tcPr>
            <w:tcW w:w="0" w:type="auto"/>
            <w:vAlign w:val="center"/>
            <w:hideMark/>
          </w:tcPr>
          <w:p w14:paraId="43F642E0" w14:textId="77777777" w:rsidR="00226BA2" w:rsidRPr="00226BA2" w:rsidRDefault="00226BA2" w:rsidP="00226BA2">
            <w:r w:rsidRPr="00226BA2">
              <w:t>0</w:t>
            </w:r>
          </w:p>
        </w:tc>
      </w:tr>
      <w:tr w:rsidR="00226BA2" w:rsidRPr="00226BA2" w14:paraId="03B951DC" w14:textId="77777777">
        <w:trPr>
          <w:tblCellSpacing w:w="15" w:type="dxa"/>
        </w:trPr>
        <w:tc>
          <w:tcPr>
            <w:tcW w:w="0" w:type="auto"/>
            <w:vAlign w:val="center"/>
            <w:hideMark/>
          </w:tcPr>
          <w:p w14:paraId="4674F156" w14:textId="77777777" w:rsidR="00226BA2" w:rsidRPr="00226BA2" w:rsidRDefault="00226BA2" w:rsidP="00226BA2">
            <w:r w:rsidRPr="00226BA2">
              <w:t>Venezuela</w:t>
            </w:r>
            <w:r w:rsidRPr="00226BA2">
              <w:rPr>
                <w:vertAlign w:val="superscript"/>
              </w:rPr>
              <w:t>4</w:t>
            </w:r>
          </w:p>
        </w:tc>
        <w:tc>
          <w:tcPr>
            <w:tcW w:w="0" w:type="auto"/>
            <w:vAlign w:val="center"/>
            <w:hideMark/>
          </w:tcPr>
          <w:p w14:paraId="0F5B442A" w14:textId="77777777" w:rsidR="00226BA2" w:rsidRPr="00226BA2" w:rsidRDefault="00226BA2" w:rsidP="00226BA2">
            <w:r w:rsidRPr="00226BA2">
              <w:t>0.68</w:t>
            </w:r>
          </w:p>
        </w:tc>
        <w:tc>
          <w:tcPr>
            <w:tcW w:w="0" w:type="auto"/>
            <w:vAlign w:val="center"/>
            <w:hideMark/>
          </w:tcPr>
          <w:p w14:paraId="3B52C385" w14:textId="77777777" w:rsidR="00226BA2" w:rsidRPr="00226BA2" w:rsidRDefault="00226BA2" w:rsidP="00226BA2">
            <w:r w:rsidRPr="00226BA2">
              <w:t>0.86</w:t>
            </w:r>
          </w:p>
        </w:tc>
        <w:tc>
          <w:tcPr>
            <w:tcW w:w="0" w:type="auto"/>
            <w:vAlign w:val="center"/>
            <w:hideMark/>
          </w:tcPr>
          <w:p w14:paraId="71238AFF" w14:textId="77777777" w:rsidR="00226BA2" w:rsidRPr="00226BA2" w:rsidRDefault="00226BA2" w:rsidP="00226BA2"/>
        </w:tc>
        <w:tc>
          <w:tcPr>
            <w:tcW w:w="0" w:type="auto"/>
            <w:vAlign w:val="center"/>
            <w:hideMark/>
          </w:tcPr>
          <w:p w14:paraId="7B9855FD" w14:textId="77777777" w:rsidR="00226BA2" w:rsidRPr="00226BA2" w:rsidRDefault="00226BA2" w:rsidP="00226BA2"/>
        </w:tc>
        <w:tc>
          <w:tcPr>
            <w:tcW w:w="0" w:type="auto"/>
            <w:vAlign w:val="center"/>
            <w:hideMark/>
          </w:tcPr>
          <w:p w14:paraId="1E27C6C5" w14:textId="77777777" w:rsidR="00226BA2" w:rsidRPr="00226BA2" w:rsidRDefault="00226BA2" w:rsidP="00226BA2">
            <w:r w:rsidRPr="00226BA2">
              <w:t>1</w:t>
            </w:r>
          </w:p>
        </w:tc>
        <w:tc>
          <w:tcPr>
            <w:tcW w:w="0" w:type="auto"/>
            <w:vAlign w:val="center"/>
            <w:hideMark/>
          </w:tcPr>
          <w:p w14:paraId="770130C8" w14:textId="77777777" w:rsidR="00226BA2" w:rsidRPr="00226BA2" w:rsidRDefault="00226BA2" w:rsidP="00226BA2">
            <w:r w:rsidRPr="00226BA2">
              <w:t>0.14</w:t>
            </w:r>
          </w:p>
        </w:tc>
      </w:tr>
      <w:tr w:rsidR="00226BA2" w:rsidRPr="00226BA2" w14:paraId="0B2DF3D1" w14:textId="77777777">
        <w:trPr>
          <w:tblCellSpacing w:w="15" w:type="dxa"/>
        </w:trPr>
        <w:tc>
          <w:tcPr>
            <w:tcW w:w="0" w:type="auto"/>
            <w:shd w:val="clear" w:color="auto" w:fill="D9D9D9"/>
            <w:vAlign w:val="center"/>
            <w:hideMark/>
          </w:tcPr>
          <w:p w14:paraId="7786194B" w14:textId="77777777" w:rsidR="00226BA2" w:rsidRPr="00226BA2" w:rsidRDefault="00226BA2" w:rsidP="00226BA2">
            <w:r w:rsidRPr="00226BA2">
              <w:rPr>
                <w:b/>
                <w:bCs/>
              </w:rPr>
              <w:t>Total OPEC</w:t>
            </w:r>
          </w:p>
        </w:tc>
        <w:tc>
          <w:tcPr>
            <w:tcW w:w="0" w:type="auto"/>
            <w:shd w:val="clear" w:color="auto" w:fill="D9D9D9"/>
            <w:vAlign w:val="center"/>
            <w:hideMark/>
          </w:tcPr>
          <w:p w14:paraId="6E85512C" w14:textId="77777777" w:rsidR="00226BA2" w:rsidRPr="00226BA2" w:rsidRDefault="00226BA2" w:rsidP="00226BA2">
            <w:r w:rsidRPr="00226BA2">
              <w:rPr>
                <w:b/>
                <w:bCs/>
              </w:rPr>
              <w:t>29.29</w:t>
            </w:r>
          </w:p>
        </w:tc>
        <w:tc>
          <w:tcPr>
            <w:tcW w:w="0" w:type="auto"/>
            <w:shd w:val="clear" w:color="auto" w:fill="D9D9D9"/>
            <w:vAlign w:val="center"/>
            <w:hideMark/>
          </w:tcPr>
          <w:p w14:paraId="0B87F9CD" w14:textId="77777777" w:rsidR="00226BA2" w:rsidRPr="00226BA2" w:rsidRDefault="00226BA2" w:rsidP="00226BA2">
            <w:r w:rsidRPr="00226BA2">
              <w:rPr>
                <w:b/>
                <w:bCs/>
              </w:rPr>
              <w:t>29.75</w:t>
            </w:r>
          </w:p>
        </w:tc>
        <w:tc>
          <w:tcPr>
            <w:tcW w:w="0" w:type="auto"/>
            <w:shd w:val="clear" w:color="auto" w:fill="D9D9D9"/>
            <w:vAlign w:val="center"/>
            <w:hideMark/>
          </w:tcPr>
          <w:p w14:paraId="7A86E7D7" w14:textId="77777777" w:rsidR="00226BA2" w:rsidRPr="00226BA2" w:rsidRDefault="00226BA2" w:rsidP="00226BA2"/>
        </w:tc>
        <w:tc>
          <w:tcPr>
            <w:tcW w:w="0" w:type="auto"/>
            <w:shd w:val="clear" w:color="auto" w:fill="D9D9D9"/>
            <w:vAlign w:val="center"/>
            <w:hideMark/>
          </w:tcPr>
          <w:p w14:paraId="2479100E" w14:textId="77777777" w:rsidR="00226BA2" w:rsidRPr="00226BA2" w:rsidRDefault="00226BA2" w:rsidP="00226BA2"/>
        </w:tc>
        <w:tc>
          <w:tcPr>
            <w:tcW w:w="0" w:type="auto"/>
            <w:shd w:val="clear" w:color="auto" w:fill="D9D9D9"/>
            <w:vAlign w:val="center"/>
            <w:hideMark/>
          </w:tcPr>
          <w:p w14:paraId="5369A0C2" w14:textId="77777777" w:rsidR="00226BA2" w:rsidRPr="00226BA2" w:rsidRDefault="00226BA2" w:rsidP="00226BA2">
            <w:r w:rsidRPr="00226BA2">
              <w:rPr>
                <w:b/>
                <w:bCs/>
              </w:rPr>
              <w:t>33.18</w:t>
            </w:r>
          </w:p>
        </w:tc>
        <w:tc>
          <w:tcPr>
            <w:tcW w:w="0" w:type="auto"/>
            <w:shd w:val="clear" w:color="auto" w:fill="D9D9D9"/>
            <w:vAlign w:val="center"/>
            <w:hideMark/>
          </w:tcPr>
          <w:p w14:paraId="16490ABF" w14:textId="77777777" w:rsidR="00226BA2" w:rsidRPr="00226BA2" w:rsidRDefault="00226BA2" w:rsidP="00226BA2">
            <w:r w:rsidRPr="00226BA2">
              <w:rPr>
                <w:b/>
                <w:bCs/>
              </w:rPr>
              <w:t>3.25</w:t>
            </w:r>
          </w:p>
        </w:tc>
      </w:tr>
      <w:tr w:rsidR="00226BA2" w:rsidRPr="00226BA2" w14:paraId="1A514D4D" w14:textId="77777777">
        <w:trPr>
          <w:tblCellSpacing w:w="15" w:type="dxa"/>
        </w:trPr>
        <w:tc>
          <w:tcPr>
            <w:tcW w:w="0" w:type="auto"/>
            <w:vAlign w:val="center"/>
            <w:hideMark/>
          </w:tcPr>
          <w:p w14:paraId="7CEF55C4" w14:textId="77777777" w:rsidR="00226BA2" w:rsidRPr="00226BA2" w:rsidRDefault="00226BA2" w:rsidP="00226BA2">
            <w:r w:rsidRPr="00226BA2">
              <w:t>Azerbaijan</w:t>
            </w:r>
          </w:p>
        </w:tc>
        <w:tc>
          <w:tcPr>
            <w:tcW w:w="0" w:type="auto"/>
            <w:vAlign w:val="center"/>
            <w:hideMark/>
          </w:tcPr>
          <w:p w14:paraId="04BA2CEE" w14:textId="77777777" w:rsidR="00226BA2" w:rsidRPr="00226BA2" w:rsidRDefault="00226BA2" w:rsidP="00226BA2">
            <w:r w:rsidRPr="00226BA2">
              <w:t>0.47</w:t>
            </w:r>
          </w:p>
        </w:tc>
        <w:tc>
          <w:tcPr>
            <w:tcW w:w="0" w:type="auto"/>
            <w:vAlign w:val="center"/>
            <w:hideMark/>
          </w:tcPr>
          <w:p w14:paraId="755A4926" w14:textId="77777777" w:rsidR="00226BA2" w:rsidRPr="00226BA2" w:rsidRDefault="00226BA2" w:rsidP="00226BA2">
            <w:r w:rsidRPr="00226BA2">
              <w:t>0.47</w:t>
            </w:r>
          </w:p>
        </w:tc>
        <w:tc>
          <w:tcPr>
            <w:tcW w:w="0" w:type="auto"/>
            <w:vAlign w:val="center"/>
            <w:hideMark/>
          </w:tcPr>
          <w:p w14:paraId="23B53AD5" w14:textId="77777777" w:rsidR="00226BA2" w:rsidRPr="00226BA2" w:rsidRDefault="00226BA2" w:rsidP="00226BA2">
            <w:r w:rsidRPr="00226BA2">
              <w:t>-0.08</w:t>
            </w:r>
          </w:p>
        </w:tc>
        <w:tc>
          <w:tcPr>
            <w:tcW w:w="0" w:type="auto"/>
            <w:vAlign w:val="center"/>
            <w:hideMark/>
          </w:tcPr>
          <w:p w14:paraId="7A9EB2F3" w14:textId="77777777" w:rsidR="00226BA2" w:rsidRPr="00226BA2" w:rsidRDefault="00226BA2" w:rsidP="00226BA2">
            <w:r w:rsidRPr="00226BA2">
              <w:t>0.55</w:t>
            </w:r>
          </w:p>
        </w:tc>
        <w:tc>
          <w:tcPr>
            <w:tcW w:w="0" w:type="auto"/>
            <w:vAlign w:val="center"/>
            <w:hideMark/>
          </w:tcPr>
          <w:p w14:paraId="35440F9C" w14:textId="77777777" w:rsidR="00226BA2" w:rsidRPr="00226BA2" w:rsidRDefault="00226BA2" w:rsidP="00226BA2">
            <w:r w:rsidRPr="00226BA2">
              <w:t>0.48</w:t>
            </w:r>
          </w:p>
        </w:tc>
        <w:tc>
          <w:tcPr>
            <w:tcW w:w="0" w:type="auto"/>
            <w:vAlign w:val="center"/>
            <w:hideMark/>
          </w:tcPr>
          <w:p w14:paraId="0F17ACEA" w14:textId="77777777" w:rsidR="00226BA2" w:rsidRPr="00226BA2" w:rsidRDefault="00226BA2" w:rsidP="00226BA2">
            <w:r w:rsidRPr="00226BA2">
              <w:t>0.01</w:t>
            </w:r>
          </w:p>
        </w:tc>
      </w:tr>
      <w:tr w:rsidR="00226BA2" w:rsidRPr="00226BA2" w14:paraId="454F123E" w14:textId="77777777">
        <w:trPr>
          <w:tblCellSpacing w:w="15" w:type="dxa"/>
        </w:trPr>
        <w:tc>
          <w:tcPr>
            <w:tcW w:w="0" w:type="auto"/>
            <w:vAlign w:val="center"/>
            <w:hideMark/>
          </w:tcPr>
          <w:p w14:paraId="3C0F309B" w14:textId="77777777" w:rsidR="00226BA2" w:rsidRPr="00226BA2" w:rsidRDefault="00226BA2" w:rsidP="00226BA2">
            <w:r w:rsidRPr="00226BA2">
              <w:t>Kazakhstan</w:t>
            </w:r>
          </w:p>
        </w:tc>
        <w:tc>
          <w:tcPr>
            <w:tcW w:w="0" w:type="auto"/>
            <w:vAlign w:val="center"/>
            <w:hideMark/>
          </w:tcPr>
          <w:p w14:paraId="2DC8758A" w14:textId="77777777" w:rsidR="00226BA2" w:rsidRPr="00226BA2" w:rsidRDefault="00226BA2" w:rsidP="00226BA2">
            <w:r w:rsidRPr="00226BA2">
              <w:t>1.36</w:t>
            </w:r>
          </w:p>
        </w:tc>
        <w:tc>
          <w:tcPr>
            <w:tcW w:w="0" w:type="auto"/>
            <w:vAlign w:val="center"/>
            <w:hideMark/>
          </w:tcPr>
          <w:p w14:paraId="7E51F0B1" w14:textId="77777777" w:rsidR="00226BA2" w:rsidRPr="00226BA2" w:rsidRDefault="00226BA2" w:rsidP="00226BA2">
            <w:r w:rsidRPr="00226BA2">
              <w:t>1.43</w:t>
            </w:r>
          </w:p>
        </w:tc>
        <w:tc>
          <w:tcPr>
            <w:tcW w:w="0" w:type="auto"/>
            <w:vAlign w:val="center"/>
            <w:hideMark/>
          </w:tcPr>
          <w:p w14:paraId="288BB408" w14:textId="77777777" w:rsidR="00226BA2" w:rsidRPr="00226BA2" w:rsidRDefault="00226BA2" w:rsidP="00226BA2">
            <w:r w:rsidRPr="00226BA2">
              <w:t>0.46</w:t>
            </w:r>
          </w:p>
        </w:tc>
        <w:tc>
          <w:tcPr>
            <w:tcW w:w="0" w:type="auto"/>
            <w:vAlign w:val="center"/>
            <w:hideMark/>
          </w:tcPr>
          <w:p w14:paraId="128668F5" w14:textId="77777777" w:rsidR="00226BA2" w:rsidRPr="00226BA2" w:rsidRDefault="00226BA2" w:rsidP="00226BA2">
            <w:r w:rsidRPr="00226BA2">
              <w:t>0.97</w:t>
            </w:r>
          </w:p>
        </w:tc>
        <w:tc>
          <w:tcPr>
            <w:tcW w:w="0" w:type="auto"/>
            <w:vAlign w:val="center"/>
            <w:hideMark/>
          </w:tcPr>
          <w:p w14:paraId="49752E82" w14:textId="77777777" w:rsidR="00226BA2" w:rsidRPr="00226BA2" w:rsidRDefault="00226BA2" w:rsidP="00226BA2">
            <w:r w:rsidRPr="00226BA2">
              <w:t>1.8</w:t>
            </w:r>
          </w:p>
        </w:tc>
        <w:tc>
          <w:tcPr>
            <w:tcW w:w="0" w:type="auto"/>
            <w:vAlign w:val="center"/>
            <w:hideMark/>
          </w:tcPr>
          <w:p w14:paraId="2F861136" w14:textId="77777777" w:rsidR="00226BA2" w:rsidRPr="00226BA2" w:rsidRDefault="00226BA2" w:rsidP="00226BA2">
            <w:r w:rsidRPr="00226BA2">
              <w:t>0.37</w:t>
            </w:r>
          </w:p>
        </w:tc>
      </w:tr>
      <w:tr w:rsidR="00226BA2" w:rsidRPr="00226BA2" w14:paraId="0EF37A89" w14:textId="77777777">
        <w:trPr>
          <w:tblCellSpacing w:w="15" w:type="dxa"/>
        </w:trPr>
        <w:tc>
          <w:tcPr>
            <w:tcW w:w="0" w:type="auto"/>
            <w:vAlign w:val="center"/>
            <w:hideMark/>
          </w:tcPr>
          <w:p w14:paraId="057BB542" w14:textId="77777777" w:rsidR="00226BA2" w:rsidRPr="00226BA2" w:rsidRDefault="00226BA2" w:rsidP="00226BA2">
            <w:r w:rsidRPr="00226BA2">
              <w:t>Mexico</w:t>
            </w:r>
            <w:r w:rsidRPr="00226BA2">
              <w:rPr>
                <w:vertAlign w:val="superscript"/>
              </w:rPr>
              <w:t>5</w:t>
            </w:r>
          </w:p>
        </w:tc>
        <w:tc>
          <w:tcPr>
            <w:tcW w:w="0" w:type="auto"/>
            <w:vAlign w:val="center"/>
            <w:hideMark/>
          </w:tcPr>
          <w:p w14:paraId="75E56B8E" w14:textId="77777777" w:rsidR="00226BA2" w:rsidRPr="00226BA2" w:rsidRDefault="00226BA2" w:rsidP="00226BA2">
            <w:r w:rsidRPr="00226BA2">
              <w:t>1.42</w:t>
            </w:r>
          </w:p>
        </w:tc>
        <w:tc>
          <w:tcPr>
            <w:tcW w:w="0" w:type="auto"/>
            <w:vAlign w:val="center"/>
            <w:hideMark/>
          </w:tcPr>
          <w:p w14:paraId="7D5C2AD5" w14:textId="77777777" w:rsidR="00226BA2" w:rsidRPr="00226BA2" w:rsidRDefault="00226BA2" w:rsidP="00226BA2">
            <w:r w:rsidRPr="00226BA2">
              <w:t>1.41</w:t>
            </w:r>
          </w:p>
        </w:tc>
        <w:tc>
          <w:tcPr>
            <w:tcW w:w="0" w:type="auto"/>
            <w:vAlign w:val="center"/>
            <w:hideMark/>
          </w:tcPr>
          <w:p w14:paraId="53E41E25" w14:textId="77777777" w:rsidR="00226BA2" w:rsidRPr="00226BA2" w:rsidRDefault="00226BA2" w:rsidP="00226BA2"/>
        </w:tc>
        <w:tc>
          <w:tcPr>
            <w:tcW w:w="0" w:type="auto"/>
            <w:vAlign w:val="center"/>
            <w:hideMark/>
          </w:tcPr>
          <w:p w14:paraId="71655984" w14:textId="77777777" w:rsidR="00226BA2" w:rsidRPr="00226BA2" w:rsidRDefault="00226BA2" w:rsidP="00226BA2"/>
        </w:tc>
        <w:tc>
          <w:tcPr>
            <w:tcW w:w="0" w:type="auto"/>
            <w:vAlign w:val="center"/>
            <w:hideMark/>
          </w:tcPr>
          <w:p w14:paraId="58280241" w14:textId="77777777" w:rsidR="00226BA2" w:rsidRPr="00226BA2" w:rsidRDefault="00226BA2" w:rsidP="00226BA2">
            <w:r w:rsidRPr="00226BA2">
              <w:t>1.5</w:t>
            </w:r>
          </w:p>
        </w:tc>
        <w:tc>
          <w:tcPr>
            <w:tcW w:w="0" w:type="auto"/>
            <w:vAlign w:val="center"/>
            <w:hideMark/>
          </w:tcPr>
          <w:p w14:paraId="11EB67A2" w14:textId="77777777" w:rsidR="00226BA2" w:rsidRPr="00226BA2" w:rsidRDefault="00226BA2" w:rsidP="00226BA2">
            <w:r w:rsidRPr="00226BA2">
              <w:t>0.09</w:t>
            </w:r>
          </w:p>
        </w:tc>
      </w:tr>
      <w:tr w:rsidR="00226BA2" w:rsidRPr="00226BA2" w14:paraId="0782670B" w14:textId="77777777">
        <w:trPr>
          <w:tblCellSpacing w:w="15" w:type="dxa"/>
        </w:trPr>
        <w:tc>
          <w:tcPr>
            <w:tcW w:w="0" w:type="auto"/>
            <w:vAlign w:val="center"/>
            <w:hideMark/>
          </w:tcPr>
          <w:p w14:paraId="2DB09497" w14:textId="77777777" w:rsidR="00226BA2" w:rsidRPr="00226BA2" w:rsidRDefault="00226BA2" w:rsidP="00226BA2">
            <w:r w:rsidRPr="00226BA2">
              <w:t>Oman</w:t>
            </w:r>
          </w:p>
        </w:tc>
        <w:tc>
          <w:tcPr>
            <w:tcW w:w="0" w:type="auto"/>
            <w:vAlign w:val="center"/>
            <w:hideMark/>
          </w:tcPr>
          <w:p w14:paraId="6A412EE2" w14:textId="77777777" w:rsidR="00226BA2" w:rsidRPr="00226BA2" w:rsidRDefault="00226BA2" w:rsidP="00226BA2">
            <w:r w:rsidRPr="00226BA2">
              <w:t>0.81</w:t>
            </w:r>
          </w:p>
        </w:tc>
        <w:tc>
          <w:tcPr>
            <w:tcW w:w="0" w:type="auto"/>
            <w:vAlign w:val="center"/>
            <w:hideMark/>
          </w:tcPr>
          <w:p w14:paraId="61B07F9F" w14:textId="77777777" w:rsidR="00226BA2" w:rsidRPr="00226BA2" w:rsidRDefault="00226BA2" w:rsidP="00226BA2">
            <w:r w:rsidRPr="00226BA2">
              <w:t>0.8</w:t>
            </w:r>
          </w:p>
        </w:tc>
        <w:tc>
          <w:tcPr>
            <w:tcW w:w="0" w:type="auto"/>
            <w:vAlign w:val="center"/>
            <w:hideMark/>
          </w:tcPr>
          <w:p w14:paraId="4B1CE9B4" w14:textId="77777777" w:rsidR="00226BA2" w:rsidRPr="00226BA2" w:rsidRDefault="00226BA2" w:rsidP="00226BA2">
            <w:r w:rsidRPr="00226BA2">
              <w:t>-0.0</w:t>
            </w:r>
          </w:p>
        </w:tc>
        <w:tc>
          <w:tcPr>
            <w:tcW w:w="0" w:type="auto"/>
            <w:vAlign w:val="center"/>
            <w:hideMark/>
          </w:tcPr>
          <w:p w14:paraId="2F3E6A4B" w14:textId="77777777" w:rsidR="00226BA2" w:rsidRPr="00226BA2" w:rsidRDefault="00226BA2" w:rsidP="00226BA2">
            <w:r w:rsidRPr="00226BA2">
              <w:t>0.81</w:t>
            </w:r>
          </w:p>
        </w:tc>
        <w:tc>
          <w:tcPr>
            <w:tcW w:w="0" w:type="auto"/>
            <w:vAlign w:val="center"/>
            <w:hideMark/>
          </w:tcPr>
          <w:p w14:paraId="0880992A" w14:textId="77777777" w:rsidR="00226BA2" w:rsidRPr="00226BA2" w:rsidRDefault="00226BA2" w:rsidP="00226BA2">
            <w:r w:rsidRPr="00226BA2">
              <w:t>0.8</w:t>
            </w:r>
          </w:p>
        </w:tc>
        <w:tc>
          <w:tcPr>
            <w:tcW w:w="0" w:type="auto"/>
            <w:vAlign w:val="center"/>
            <w:hideMark/>
          </w:tcPr>
          <w:p w14:paraId="48809289" w14:textId="77777777" w:rsidR="00226BA2" w:rsidRPr="00226BA2" w:rsidRDefault="00226BA2" w:rsidP="00226BA2">
            <w:r w:rsidRPr="00226BA2">
              <w:t>0</w:t>
            </w:r>
          </w:p>
        </w:tc>
      </w:tr>
      <w:tr w:rsidR="00226BA2" w:rsidRPr="00226BA2" w14:paraId="30F54FDE" w14:textId="77777777">
        <w:trPr>
          <w:tblCellSpacing w:w="15" w:type="dxa"/>
        </w:trPr>
        <w:tc>
          <w:tcPr>
            <w:tcW w:w="0" w:type="auto"/>
            <w:vAlign w:val="center"/>
            <w:hideMark/>
          </w:tcPr>
          <w:p w14:paraId="30B7B93C" w14:textId="77777777" w:rsidR="00226BA2" w:rsidRPr="00226BA2" w:rsidRDefault="00226BA2" w:rsidP="00226BA2">
            <w:r w:rsidRPr="00226BA2">
              <w:t>Russia</w:t>
            </w:r>
          </w:p>
        </w:tc>
        <w:tc>
          <w:tcPr>
            <w:tcW w:w="0" w:type="auto"/>
            <w:vAlign w:val="center"/>
            <w:hideMark/>
          </w:tcPr>
          <w:p w14:paraId="1349FB08" w14:textId="77777777" w:rsidR="00226BA2" w:rsidRPr="00226BA2" w:rsidRDefault="00226BA2" w:rsidP="00226BA2">
            <w:r w:rsidRPr="00226BA2">
              <w:t>9.26</w:t>
            </w:r>
          </w:p>
        </w:tc>
        <w:tc>
          <w:tcPr>
            <w:tcW w:w="0" w:type="auto"/>
            <w:vAlign w:val="center"/>
            <w:hideMark/>
          </w:tcPr>
          <w:p w14:paraId="18301948" w14:textId="77777777" w:rsidR="00226BA2" w:rsidRPr="00226BA2" w:rsidRDefault="00226BA2" w:rsidP="00226BA2">
            <w:r w:rsidRPr="00226BA2">
              <w:t>8.55</w:t>
            </w:r>
          </w:p>
        </w:tc>
        <w:tc>
          <w:tcPr>
            <w:tcW w:w="0" w:type="auto"/>
            <w:vAlign w:val="center"/>
            <w:hideMark/>
          </w:tcPr>
          <w:p w14:paraId="08469B8D" w14:textId="77777777" w:rsidR="00226BA2" w:rsidRPr="00226BA2" w:rsidRDefault="00226BA2" w:rsidP="00226BA2">
            <w:r w:rsidRPr="00226BA2">
              <w:t>-1.02</w:t>
            </w:r>
          </w:p>
        </w:tc>
        <w:tc>
          <w:tcPr>
            <w:tcW w:w="0" w:type="auto"/>
            <w:vAlign w:val="center"/>
            <w:hideMark/>
          </w:tcPr>
          <w:p w14:paraId="17CA3323" w14:textId="77777777" w:rsidR="00226BA2" w:rsidRPr="00226BA2" w:rsidRDefault="00226BA2" w:rsidP="00226BA2">
            <w:r w:rsidRPr="00226BA2">
              <w:t>9.57</w:t>
            </w:r>
          </w:p>
        </w:tc>
        <w:tc>
          <w:tcPr>
            <w:tcW w:w="0" w:type="auto"/>
            <w:vAlign w:val="center"/>
            <w:hideMark/>
          </w:tcPr>
          <w:p w14:paraId="4318810F" w14:textId="77777777" w:rsidR="00226BA2" w:rsidRPr="00226BA2" w:rsidRDefault="00226BA2" w:rsidP="00226BA2">
            <w:r w:rsidRPr="00226BA2">
              <w:t>9.4</w:t>
            </w:r>
          </w:p>
        </w:tc>
        <w:tc>
          <w:tcPr>
            <w:tcW w:w="0" w:type="auto"/>
            <w:vAlign w:val="center"/>
            <w:hideMark/>
          </w:tcPr>
          <w:p w14:paraId="1E1BF0E5" w14:textId="77777777" w:rsidR="00226BA2" w:rsidRPr="00226BA2" w:rsidRDefault="00226BA2" w:rsidP="00226BA2"/>
        </w:tc>
      </w:tr>
      <w:tr w:rsidR="00226BA2" w:rsidRPr="00226BA2" w14:paraId="3376A4FC" w14:textId="77777777">
        <w:trPr>
          <w:tblCellSpacing w:w="15" w:type="dxa"/>
        </w:trPr>
        <w:tc>
          <w:tcPr>
            <w:tcW w:w="0" w:type="auto"/>
            <w:vAlign w:val="center"/>
            <w:hideMark/>
          </w:tcPr>
          <w:p w14:paraId="4E05C6D9" w14:textId="77777777" w:rsidR="00226BA2" w:rsidRPr="00226BA2" w:rsidRDefault="00226BA2" w:rsidP="00226BA2">
            <w:r w:rsidRPr="00226BA2">
              <w:t xml:space="preserve">Others </w:t>
            </w:r>
            <w:r w:rsidRPr="00226BA2">
              <w:rPr>
                <w:vertAlign w:val="superscript"/>
              </w:rPr>
              <w:t>6</w:t>
            </w:r>
          </w:p>
        </w:tc>
        <w:tc>
          <w:tcPr>
            <w:tcW w:w="0" w:type="auto"/>
            <w:vAlign w:val="center"/>
            <w:hideMark/>
          </w:tcPr>
          <w:p w14:paraId="4EAA4C72" w14:textId="77777777" w:rsidR="00226BA2" w:rsidRPr="00226BA2" w:rsidRDefault="00226BA2" w:rsidP="00226BA2">
            <w:r w:rsidRPr="00226BA2">
              <w:t>0.72</w:t>
            </w:r>
          </w:p>
        </w:tc>
        <w:tc>
          <w:tcPr>
            <w:tcW w:w="0" w:type="auto"/>
            <w:vAlign w:val="center"/>
            <w:hideMark/>
          </w:tcPr>
          <w:p w14:paraId="7643948B" w14:textId="77777777" w:rsidR="00226BA2" w:rsidRPr="00226BA2" w:rsidRDefault="00226BA2" w:rsidP="00226BA2">
            <w:r w:rsidRPr="00226BA2">
              <w:t>0.78</w:t>
            </w:r>
          </w:p>
        </w:tc>
        <w:tc>
          <w:tcPr>
            <w:tcW w:w="0" w:type="auto"/>
            <w:vAlign w:val="center"/>
            <w:hideMark/>
          </w:tcPr>
          <w:p w14:paraId="19A67E40" w14:textId="77777777" w:rsidR="00226BA2" w:rsidRPr="00226BA2" w:rsidRDefault="00226BA2" w:rsidP="00226BA2">
            <w:r w:rsidRPr="00226BA2">
              <w:t>-0.09</w:t>
            </w:r>
          </w:p>
        </w:tc>
        <w:tc>
          <w:tcPr>
            <w:tcW w:w="0" w:type="auto"/>
            <w:vAlign w:val="center"/>
            <w:hideMark/>
          </w:tcPr>
          <w:p w14:paraId="23462A81" w14:textId="77777777" w:rsidR="00226BA2" w:rsidRPr="00226BA2" w:rsidRDefault="00226BA2" w:rsidP="00226BA2">
            <w:r w:rsidRPr="00226BA2">
              <w:t>0.87</w:t>
            </w:r>
          </w:p>
        </w:tc>
        <w:tc>
          <w:tcPr>
            <w:tcW w:w="0" w:type="auto"/>
            <w:vAlign w:val="center"/>
            <w:hideMark/>
          </w:tcPr>
          <w:p w14:paraId="55D954C1" w14:textId="77777777" w:rsidR="00226BA2" w:rsidRPr="00226BA2" w:rsidRDefault="00226BA2" w:rsidP="00226BA2">
            <w:r w:rsidRPr="00226BA2">
              <w:t>0.86</w:t>
            </w:r>
          </w:p>
        </w:tc>
        <w:tc>
          <w:tcPr>
            <w:tcW w:w="0" w:type="auto"/>
            <w:vAlign w:val="center"/>
            <w:hideMark/>
          </w:tcPr>
          <w:p w14:paraId="0D954B4E" w14:textId="77777777" w:rsidR="00226BA2" w:rsidRPr="00226BA2" w:rsidRDefault="00226BA2" w:rsidP="00226BA2">
            <w:r w:rsidRPr="00226BA2">
              <w:t>0.08</w:t>
            </w:r>
          </w:p>
        </w:tc>
      </w:tr>
      <w:tr w:rsidR="00226BA2" w:rsidRPr="00226BA2" w14:paraId="71DCB15F" w14:textId="77777777">
        <w:trPr>
          <w:tblCellSpacing w:w="15" w:type="dxa"/>
        </w:trPr>
        <w:tc>
          <w:tcPr>
            <w:tcW w:w="0" w:type="auto"/>
            <w:shd w:val="clear" w:color="auto" w:fill="D9D9D9"/>
            <w:vAlign w:val="center"/>
            <w:hideMark/>
          </w:tcPr>
          <w:p w14:paraId="69A4337B" w14:textId="77777777" w:rsidR="00226BA2" w:rsidRPr="00226BA2" w:rsidRDefault="00226BA2" w:rsidP="00226BA2">
            <w:r w:rsidRPr="00226BA2">
              <w:rPr>
                <w:b/>
                <w:bCs/>
              </w:rPr>
              <w:t xml:space="preserve">Total </w:t>
            </w:r>
            <w:proofErr w:type="gramStart"/>
            <w:r w:rsidRPr="00226BA2">
              <w:rPr>
                <w:b/>
                <w:bCs/>
              </w:rPr>
              <w:t>Non-OPEC</w:t>
            </w:r>
            <w:proofErr w:type="gramEnd"/>
          </w:p>
        </w:tc>
        <w:tc>
          <w:tcPr>
            <w:tcW w:w="0" w:type="auto"/>
            <w:shd w:val="clear" w:color="auto" w:fill="D9D9D9"/>
            <w:vAlign w:val="center"/>
            <w:hideMark/>
          </w:tcPr>
          <w:p w14:paraId="5B57F104" w14:textId="77777777" w:rsidR="00226BA2" w:rsidRPr="00226BA2" w:rsidRDefault="00226BA2" w:rsidP="00226BA2">
            <w:r w:rsidRPr="00226BA2">
              <w:rPr>
                <w:b/>
                <w:bCs/>
              </w:rPr>
              <w:t>14.03</w:t>
            </w:r>
          </w:p>
        </w:tc>
        <w:tc>
          <w:tcPr>
            <w:tcW w:w="0" w:type="auto"/>
            <w:shd w:val="clear" w:color="auto" w:fill="D9D9D9"/>
            <w:vAlign w:val="center"/>
            <w:hideMark/>
          </w:tcPr>
          <w:p w14:paraId="57C5FF8B" w14:textId="77777777" w:rsidR="00226BA2" w:rsidRPr="00226BA2" w:rsidRDefault="00226BA2" w:rsidP="00226BA2">
            <w:r w:rsidRPr="00226BA2">
              <w:rPr>
                <w:b/>
                <w:bCs/>
              </w:rPr>
              <w:t>13.44</w:t>
            </w:r>
          </w:p>
        </w:tc>
        <w:tc>
          <w:tcPr>
            <w:tcW w:w="0" w:type="auto"/>
            <w:shd w:val="clear" w:color="auto" w:fill="D9D9D9"/>
            <w:vAlign w:val="center"/>
            <w:hideMark/>
          </w:tcPr>
          <w:p w14:paraId="61E95036" w14:textId="77777777" w:rsidR="00226BA2" w:rsidRPr="00226BA2" w:rsidRDefault="00226BA2" w:rsidP="00226BA2">
            <w:r w:rsidRPr="00226BA2">
              <w:rPr>
                <w:b/>
                <w:bCs/>
              </w:rPr>
              <w:t>-0.74</w:t>
            </w:r>
          </w:p>
        </w:tc>
        <w:tc>
          <w:tcPr>
            <w:tcW w:w="0" w:type="auto"/>
            <w:shd w:val="clear" w:color="auto" w:fill="D9D9D9"/>
            <w:vAlign w:val="center"/>
            <w:hideMark/>
          </w:tcPr>
          <w:p w14:paraId="4EB703DA" w14:textId="77777777" w:rsidR="00226BA2" w:rsidRPr="00226BA2" w:rsidRDefault="00226BA2" w:rsidP="00226BA2">
            <w:r w:rsidRPr="00226BA2">
              <w:rPr>
                <w:b/>
                <w:bCs/>
              </w:rPr>
              <w:t>12.77</w:t>
            </w:r>
          </w:p>
        </w:tc>
        <w:tc>
          <w:tcPr>
            <w:tcW w:w="0" w:type="auto"/>
            <w:shd w:val="clear" w:color="auto" w:fill="D9D9D9"/>
            <w:vAlign w:val="center"/>
            <w:hideMark/>
          </w:tcPr>
          <w:p w14:paraId="5E1BB309" w14:textId="77777777" w:rsidR="00226BA2" w:rsidRPr="00226BA2" w:rsidRDefault="00226BA2" w:rsidP="00226BA2">
            <w:r w:rsidRPr="00226BA2">
              <w:rPr>
                <w:b/>
                <w:bCs/>
              </w:rPr>
              <w:t>14.84</w:t>
            </w:r>
          </w:p>
        </w:tc>
        <w:tc>
          <w:tcPr>
            <w:tcW w:w="0" w:type="auto"/>
            <w:shd w:val="clear" w:color="auto" w:fill="D9D9D9"/>
            <w:vAlign w:val="center"/>
            <w:hideMark/>
          </w:tcPr>
          <w:p w14:paraId="67B04F3C" w14:textId="77777777" w:rsidR="00226BA2" w:rsidRPr="00226BA2" w:rsidRDefault="00226BA2" w:rsidP="00226BA2">
            <w:r w:rsidRPr="00226BA2">
              <w:rPr>
                <w:b/>
                <w:bCs/>
              </w:rPr>
              <w:t>0.55</w:t>
            </w:r>
          </w:p>
        </w:tc>
      </w:tr>
      <w:tr w:rsidR="00226BA2" w:rsidRPr="00226BA2" w14:paraId="405FA2D9" w14:textId="77777777">
        <w:trPr>
          <w:tblCellSpacing w:w="15" w:type="dxa"/>
        </w:trPr>
        <w:tc>
          <w:tcPr>
            <w:tcW w:w="0" w:type="auto"/>
            <w:shd w:val="clear" w:color="auto" w:fill="D9D9D9"/>
            <w:vAlign w:val="center"/>
            <w:hideMark/>
          </w:tcPr>
          <w:p w14:paraId="3A8D7E07" w14:textId="77777777" w:rsidR="00226BA2" w:rsidRPr="00226BA2" w:rsidRDefault="00226BA2" w:rsidP="00226BA2">
            <w:r w:rsidRPr="00226BA2">
              <w:rPr>
                <w:b/>
                <w:bCs/>
              </w:rPr>
              <w:t>OPEC+ 18 in Nov 2022 deal</w:t>
            </w:r>
            <w:r w:rsidRPr="00226BA2">
              <w:rPr>
                <w:b/>
                <w:bCs/>
                <w:vertAlign w:val="superscript"/>
              </w:rPr>
              <w:t>5</w:t>
            </w:r>
          </w:p>
        </w:tc>
        <w:tc>
          <w:tcPr>
            <w:tcW w:w="0" w:type="auto"/>
            <w:shd w:val="clear" w:color="auto" w:fill="D9D9D9"/>
            <w:vAlign w:val="center"/>
            <w:hideMark/>
          </w:tcPr>
          <w:p w14:paraId="61289766" w14:textId="77777777" w:rsidR="00226BA2" w:rsidRPr="00226BA2" w:rsidRDefault="00226BA2" w:rsidP="00226BA2">
            <w:r w:rsidRPr="00226BA2">
              <w:rPr>
                <w:b/>
                <w:bCs/>
              </w:rPr>
              <w:t>36.45</w:t>
            </w:r>
          </w:p>
        </w:tc>
        <w:tc>
          <w:tcPr>
            <w:tcW w:w="0" w:type="auto"/>
            <w:shd w:val="clear" w:color="auto" w:fill="D9D9D9"/>
            <w:vAlign w:val="center"/>
            <w:hideMark/>
          </w:tcPr>
          <w:p w14:paraId="6D45217B" w14:textId="77777777" w:rsidR="00226BA2" w:rsidRPr="00226BA2" w:rsidRDefault="00226BA2" w:rsidP="00226BA2">
            <w:r w:rsidRPr="00226BA2">
              <w:rPr>
                <w:b/>
                <w:bCs/>
              </w:rPr>
              <w:t>36.05</w:t>
            </w:r>
          </w:p>
        </w:tc>
        <w:tc>
          <w:tcPr>
            <w:tcW w:w="0" w:type="auto"/>
            <w:shd w:val="clear" w:color="auto" w:fill="D9D9D9"/>
            <w:vAlign w:val="center"/>
            <w:hideMark/>
          </w:tcPr>
          <w:p w14:paraId="10226E70" w14:textId="77777777" w:rsidR="00226BA2" w:rsidRPr="00226BA2" w:rsidRDefault="00226BA2" w:rsidP="00226BA2">
            <w:r w:rsidRPr="00226BA2">
              <w:rPr>
                <w:b/>
                <w:bCs/>
              </w:rPr>
              <w:t>0.04</w:t>
            </w:r>
          </w:p>
        </w:tc>
        <w:tc>
          <w:tcPr>
            <w:tcW w:w="0" w:type="auto"/>
            <w:shd w:val="clear" w:color="auto" w:fill="D9D9D9"/>
            <w:vAlign w:val="center"/>
            <w:hideMark/>
          </w:tcPr>
          <w:p w14:paraId="13F370D1" w14:textId="77777777" w:rsidR="00226BA2" w:rsidRPr="00226BA2" w:rsidRDefault="00226BA2" w:rsidP="00226BA2">
            <w:r w:rsidRPr="00226BA2">
              <w:rPr>
                <w:b/>
                <w:bCs/>
              </w:rPr>
              <w:t>36.01</w:t>
            </w:r>
          </w:p>
        </w:tc>
        <w:tc>
          <w:tcPr>
            <w:tcW w:w="0" w:type="auto"/>
            <w:shd w:val="clear" w:color="auto" w:fill="D9D9D9"/>
            <w:vAlign w:val="center"/>
            <w:hideMark/>
          </w:tcPr>
          <w:p w14:paraId="7D3BC941" w14:textId="77777777" w:rsidR="00226BA2" w:rsidRPr="00226BA2" w:rsidRDefault="00226BA2" w:rsidP="00226BA2">
            <w:r w:rsidRPr="00226BA2">
              <w:rPr>
                <w:b/>
                <w:bCs/>
              </w:rPr>
              <w:t>40.43</w:t>
            </w:r>
          </w:p>
        </w:tc>
        <w:tc>
          <w:tcPr>
            <w:tcW w:w="0" w:type="auto"/>
            <w:shd w:val="clear" w:color="auto" w:fill="D9D9D9"/>
            <w:vAlign w:val="center"/>
            <w:hideMark/>
          </w:tcPr>
          <w:p w14:paraId="79A4BFD1" w14:textId="77777777" w:rsidR="00226BA2" w:rsidRPr="00226BA2" w:rsidRDefault="00226BA2" w:rsidP="00226BA2">
            <w:r w:rsidRPr="00226BA2">
              <w:rPr>
                <w:b/>
                <w:bCs/>
              </w:rPr>
              <w:t>3.57</w:t>
            </w:r>
          </w:p>
        </w:tc>
      </w:tr>
      <w:tr w:rsidR="00226BA2" w:rsidRPr="00226BA2" w14:paraId="350D2C6F" w14:textId="77777777">
        <w:trPr>
          <w:tblCellSpacing w:w="15" w:type="dxa"/>
        </w:trPr>
        <w:tc>
          <w:tcPr>
            <w:tcW w:w="0" w:type="auto"/>
            <w:shd w:val="clear" w:color="auto" w:fill="D9D9D9"/>
            <w:vAlign w:val="center"/>
            <w:hideMark/>
          </w:tcPr>
          <w:p w14:paraId="2FF7244B" w14:textId="77777777" w:rsidR="00226BA2" w:rsidRPr="00226BA2" w:rsidRDefault="00226BA2" w:rsidP="00226BA2">
            <w:r w:rsidRPr="00226BA2">
              <w:rPr>
                <w:b/>
                <w:bCs/>
              </w:rPr>
              <w:t xml:space="preserve">Total OPEC+ </w:t>
            </w:r>
          </w:p>
        </w:tc>
        <w:tc>
          <w:tcPr>
            <w:tcW w:w="0" w:type="auto"/>
            <w:shd w:val="clear" w:color="auto" w:fill="D9D9D9"/>
            <w:vAlign w:val="center"/>
            <w:hideMark/>
          </w:tcPr>
          <w:p w14:paraId="37381355" w14:textId="77777777" w:rsidR="00226BA2" w:rsidRPr="00226BA2" w:rsidRDefault="00226BA2" w:rsidP="00226BA2">
            <w:r w:rsidRPr="00226BA2">
              <w:rPr>
                <w:b/>
                <w:bCs/>
              </w:rPr>
              <w:t>43.33</w:t>
            </w:r>
          </w:p>
        </w:tc>
        <w:tc>
          <w:tcPr>
            <w:tcW w:w="0" w:type="auto"/>
            <w:shd w:val="clear" w:color="auto" w:fill="D9D9D9"/>
            <w:vAlign w:val="center"/>
            <w:hideMark/>
          </w:tcPr>
          <w:p w14:paraId="7D4A85A8" w14:textId="77777777" w:rsidR="00226BA2" w:rsidRPr="00226BA2" w:rsidRDefault="00226BA2" w:rsidP="00226BA2">
            <w:r w:rsidRPr="00226BA2">
              <w:rPr>
                <w:b/>
                <w:bCs/>
              </w:rPr>
              <w:t>43.19</w:t>
            </w:r>
          </w:p>
        </w:tc>
        <w:tc>
          <w:tcPr>
            <w:tcW w:w="0" w:type="auto"/>
            <w:shd w:val="clear" w:color="auto" w:fill="D9D9D9"/>
            <w:vAlign w:val="center"/>
            <w:hideMark/>
          </w:tcPr>
          <w:p w14:paraId="2EF67FCF" w14:textId="77777777" w:rsidR="00226BA2" w:rsidRPr="00226BA2" w:rsidRDefault="00226BA2" w:rsidP="00226BA2"/>
        </w:tc>
        <w:tc>
          <w:tcPr>
            <w:tcW w:w="0" w:type="auto"/>
            <w:shd w:val="clear" w:color="auto" w:fill="D9D9D9"/>
            <w:vAlign w:val="center"/>
            <w:hideMark/>
          </w:tcPr>
          <w:p w14:paraId="4191F2C1" w14:textId="77777777" w:rsidR="00226BA2" w:rsidRPr="00226BA2" w:rsidRDefault="00226BA2" w:rsidP="00226BA2"/>
        </w:tc>
        <w:tc>
          <w:tcPr>
            <w:tcW w:w="0" w:type="auto"/>
            <w:shd w:val="clear" w:color="auto" w:fill="D9D9D9"/>
            <w:vAlign w:val="center"/>
            <w:hideMark/>
          </w:tcPr>
          <w:p w14:paraId="171AA5B1" w14:textId="77777777" w:rsidR="00226BA2" w:rsidRPr="00226BA2" w:rsidRDefault="00226BA2" w:rsidP="00226BA2">
            <w:r w:rsidRPr="00226BA2">
              <w:rPr>
                <w:b/>
                <w:bCs/>
              </w:rPr>
              <w:t>48.01</w:t>
            </w:r>
          </w:p>
        </w:tc>
        <w:tc>
          <w:tcPr>
            <w:tcW w:w="0" w:type="auto"/>
            <w:shd w:val="clear" w:color="auto" w:fill="D9D9D9"/>
            <w:vAlign w:val="center"/>
            <w:hideMark/>
          </w:tcPr>
          <w:p w14:paraId="74532707" w14:textId="77777777" w:rsidR="00226BA2" w:rsidRPr="00226BA2" w:rsidRDefault="00226BA2" w:rsidP="00226BA2">
            <w:r w:rsidRPr="00226BA2">
              <w:rPr>
                <w:b/>
                <w:bCs/>
              </w:rPr>
              <w:t>3.8</w:t>
            </w:r>
          </w:p>
        </w:tc>
      </w:tr>
    </w:tbl>
    <w:p w14:paraId="556E5F96" w14:textId="77777777" w:rsidR="00226BA2" w:rsidRPr="00226BA2" w:rsidRDefault="00226BA2" w:rsidP="00226BA2">
      <w:r w:rsidRPr="00226BA2">
        <w:t>1. Includes extra voluntary curbs and revised, additional compensation cutback volumes. 2. Capacity levels can be reached within 90 days and sustained for an extended period. 3. Excludes shut in Iranian, Russian crude. 4. Iran, Libya, Venezuela exempt from cuts. 5. Mexico excluded from OPEC+ compliance. 6. Bahrain, Brunei, Malaysia, Sudan and South Sudan.</w:t>
      </w:r>
    </w:p>
    <w:p w14:paraId="7525B945" w14:textId="77777777" w:rsidR="008E449A" w:rsidRDefault="008E449A"/>
    <w:sectPr w:rsidR="008E4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5210AE"/>
    <w:multiLevelType w:val="multilevel"/>
    <w:tmpl w:val="1EF8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524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A2"/>
    <w:rsid w:val="001A58B3"/>
    <w:rsid w:val="001E4362"/>
    <w:rsid w:val="00226BA2"/>
    <w:rsid w:val="002D097E"/>
    <w:rsid w:val="00455E0A"/>
    <w:rsid w:val="007644FC"/>
    <w:rsid w:val="008E449A"/>
    <w:rsid w:val="00B116C7"/>
    <w:rsid w:val="00B258DA"/>
    <w:rsid w:val="00BC350B"/>
    <w:rsid w:val="00F74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0E7EC"/>
  <w15:chartTrackingRefBased/>
  <w15:docId w15:val="{61025D83-3AE1-447B-91A2-702F1A22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B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6B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6B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6B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6B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6B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B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B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B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B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6B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6B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6B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6B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6B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B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B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BA2"/>
    <w:rPr>
      <w:rFonts w:eastAsiaTheme="majorEastAsia" w:cstheme="majorBidi"/>
      <w:color w:val="272727" w:themeColor="text1" w:themeTint="D8"/>
    </w:rPr>
  </w:style>
  <w:style w:type="paragraph" w:styleId="Title">
    <w:name w:val="Title"/>
    <w:basedOn w:val="Normal"/>
    <w:next w:val="Normal"/>
    <w:link w:val="TitleChar"/>
    <w:uiPriority w:val="10"/>
    <w:qFormat/>
    <w:rsid w:val="00226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B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B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B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BA2"/>
    <w:pPr>
      <w:spacing w:before="160"/>
      <w:jc w:val="center"/>
    </w:pPr>
    <w:rPr>
      <w:i/>
      <w:iCs/>
      <w:color w:val="404040" w:themeColor="text1" w:themeTint="BF"/>
    </w:rPr>
  </w:style>
  <w:style w:type="character" w:customStyle="1" w:styleId="QuoteChar">
    <w:name w:val="Quote Char"/>
    <w:basedOn w:val="DefaultParagraphFont"/>
    <w:link w:val="Quote"/>
    <w:uiPriority w:val="29"/>
    <w:rsid w:val="00226BA2"/>
    <w:rPr>
      <w:i/>
      <w:iCs/>
      <w:color w:val="404040" w:themeColor="text1" w:themeTint="BF"/>
    </w:rPr>
  </w:style>
  <w:style w:type="paragraph" w:styleId="ListParagraph">
    <w:name w:val="List Paragraph"/>
    <w:basedOn w:val="Normal"/>
    <w:uiPriority w:val="34"/>
    <w:qFormat/>
    <w:rsid w:val="00226BA2"/>
    <w:pPr>
      <w:ind w:left="720"/>
      <w:contextualSpacing/>
    </w:pPr>
  </w:style>
  <w:style w:type="character" w:styleId="IntenseEmphasis">
    <w:name w:val="Intense Emphasis"/>
    <w:basedOn w:val="DefaultParagraphFont"/>
    <w:uiPriority w:val="21"/>
    <w:qFormat/>
    <w:rsid w:val="00226BA2"/>
    <w:rPr>
      <w:i/>
      <w:iCs/>
      <w:color w:val="2F5496" w:themeColor="accent1" w:themeShade="BF"/>
    </w:rPr>
  </w:style>
  <w:style w:type="paragraph" w:styleId="IntenseQuote">
    <w:name w:val="Intense Quote"/>
    <w:basedOn w:val="Normal"/>
    <w:next w:val="Normal"/>
    <w:link w:val="IntenseQuoteChar"/>
    <w:uiPriority w:val="30"/>
    <w:qFormat/>
    <w:rsid w:val="00226B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6BA2"/>
    <w:rPr>
      <w:i/>
      <w:iCs/>
      <w:color w:val="2F5496" w:themeColor="accent1" w:themeShade="BF"/>
    </w:rPr>
  </w:style>
  <w:style w:type="character" w:styleId="IntenseReference">
    <w:name w:val="Intense Reference"/>
    <w:basedOn w:val="DefaultParagraphFont"/>
    <w:uiPriority w:val="32"/>
    <w:qFormat/>
    <w:rsid w:val="00226BA2"/>
    <w:rPr>
      <w:b/>
      <w:bCs/>
      <w:smallCaps/>
      <w:color w:val="2F5496" w:themeColor="accent1" w:themeShade="BF"/>
      <w:spacing w:val="5"/>
    </w:rPr>
  </w:style>
  <w:style w:type="character" w:styleId="Hyperlink">
    <w:name w:val="Hyperlink"/>
    <w:basedOn w:val="DefaultParagraphFont"/>
    <w:uiPriority w:val="99"/>
    <w:unhideWhenUsed/>
    <w:rsid w:val="00226BA2"/>
    <w:rPr>
      <w:color w:val="0563C1" w:themeColor="hyperlink"/>
      <w:u w:val="single"/>
    </w:rPr>
  </w:style>
  <w:style w:type="character" w:styleId="UnresolvedMention">
    <w:name w:val="Unresolved Mention"/>
    <w:basedOn w:val="DefaultParagraphFont"/>
    <w:uiPriority w:val="99"/>
    <w:semiHidden/>
    <w:unhideWhenUsed/>
    <w:rsid w:val="00226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a.org/reports/oil-market-report-march-2026" TargetMode="External"/><Relationship Id="rId3" Type="http://schemas.openxmlformats.org/officeDocument/2006/relationships/settings" Target="settings.xml"/><Relationship Id="rId7" Type="http://schemas.openxmlformats.org/officeDocument/2006/relationships/hyperlink" Target="https://www.iea.org/reports/oil-market-report-march-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ea.org/terms/terms-of-use-for-non-cc-material" TargetMode="External"/><Relationship Id="rId5" Type="http://schemas.openxmlformats.org/officeDocument/2006/relationships/hyperlink" Target="https://www.iea.org/reports/oil-market-report-march-2026#overvie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1319</Words>
  <Characters>7519</Characters>
  <Application>Microsoft Office Word</Application>
  <DocSecurity>0</DocSecurity>
  <Lines>62</Lines>
  <Paragraphs>17</Paragraphs>
  <ScaleCrop>false</ScaleCrop>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KAMPIS</dc:creator>
  <cp:keywords/>
  <dc:description/>
  <cp:lastModifiedBy>DIMITRIOS KAMPIS</cp:lastModifiedBy>
  <cp:revision>1</cp:revision>
  <dcterms:created xsi:type="dcterms:W3CDTF">2026-03-13T05:47:00Z</dcterms:created>
  <dcterms:modified xsi:type="dcterms:W3CDTF">2026-03-13T05:49:00Z</dcterms:modified>
</cp:coreProperties>
</file>