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6D6F" w14:textId="77777777" w:rsidR="00F31F08" w:rsidRPr="009D47DE" w:rsidRDefault="00F31F08" w:rsidP="00F31F08">
      <w:pPr>
        <w:rPr>
          <w:b/>
          <w:bCs/>
        </w:rPr>
      </w:pPr>
      <w:r w:rsidRPr="009D47DE">
        <w:rPr>
          <w:b/>
          <w:bCs/>
        </w:rPr>
        <w:t xml:space="preserve">ECB Tells Banks to Identify the Leverage Providers on </w:t>
      </w:r>
      <w:proofErr w:type="spellStart"/>
      <w:r w:rsidRPr="009D47DE">
        <w:rPr>
          <w:b/>
          <w:bCs/>
        </w:rPr>
        <w:t>SRT</w:t>
      </w:r>
      <w:proofErr w:type="spellEnd"/>
      <w:r w:rsidRPr="009D47DE">
        <w:rPr>
          <w:b/>
          <w:bCs/>
        </w:rPr>
        <w:t xml:space="preserve"> Deals</w:t>
      </w:r>
    </w:p>
    <w:p w14:paraId="108109A1" w14:textId="77777777" w:rsidR="00F31F08" w:rsidRPr="009D47DE" w:rsidRDefault="00F31F08" w:rsidP="00F31F08">
      <w:r w:rsidRPr="009D47DE">
        <w:t xml:space="preserve">By </w:t>
      </w:r>
      <w:hyperlink r:id="rId5" w:history="1">
        <w:r w:rsidRPr="009D47DE">
          <w:rPr>
            <w:rStyle w:val="Hyperlink"/>
          </w:rPr>
          <w:t>Esteban Duarte</w:t>
        </w:r>
      </w:hyperlink>
      <w:r w:rsidRPr="009D47DE">
        <w:t xml:space="preserve">, </w:t>
      </w:r>
      <w:hyperlink r:id="rId6" w:history="1">
        <w:r w:rsidRPr="009D47DE">
          <w:rPr>
            <w:rStyle w:val="Hyperlink"/>
          </w:rPr>
          <w:t>Claudia Cohen</w:t>
        </w:r>
      </w:hyperlink>
      <w:r w:rsidRPr="009D47DE">
        <w:t xml:space="preserve">, and </w:t>
      </w:r>
      <w:hyperlink r:id="rId7" w:history="1">
        <w:r w:rsidRPr="009D47DE">
          <w:rPr>
            <w:rStyle w:val="Hyperlink"/>
          </w:rPr>
          <w:t>Nicholas Comfort</w:t>
        </w:r>
      </w:hyperlink>
    </w:p>
    <w:p w14:paraId="415B1DB0" w14:textId="77777777" w:rsidR="00F31F08" w:rsidRPr="009D47DE" w:rsidRDefault="00F31F08" w:rsidP="00F31F08">
      <w:r w:rsidRPr="009D47DE">
        <w:t>March 19, 2026 at 6:29 PM GMT+2</w:t>
      </w:r>
    </w:p>
    <w:p w14:paraId="5F8EB39F" w14:textId="77777777" w:rsidR="00F31F08" w:rsidRPr="009D47DE" w:rsidRDefault="00F31F08" w:rsidP="00F31F08">
      <w:r w:rsidRPr="009D47DE">
        <w:t>The European Central Bank is probing the use of leverage underpinning banks’ fast-growing significant risk transfer market, according to people familiar with the matter.</w:t>
      </w:r>
    </w:p>
    <w:p w14:paraId="008DC025" w14:textId="77777777" w:rsidR="00F31F08" w:rsidRPr="009D47DE" w:rsidRDefault="00F31F08" w:rsidP="00F31F08">
      <w:r w:rsidRPr="009D47DE">
        <w:t xml:space="preserve">The ECB is seeking details of banks that lend to buyers of </w:t>
      </w:r>
      <w:proofErr w:type="spellStart"/>
      <w:r w:rsidRPr="009D47DE">
        <w:t>SRTs</w:t>
      </w:r>
      <w:proofErr w:type="spellEnd"/>
      <w:r w:rsidRPr="009D47DE">
        <w:t xml:space="preserve">, said the people, who declined to be identified because the discussions are private. </w:t>
      </w:r>
    </w:p>
    <w:p w14:paraId="5910F5B3" w14:textId="77777777" w:rsidR="00F31F08" w:rsidRPr="009D47DE" w:rsidRDefault="00F31F08" w:rsidP="00F31F08">
      <w:r w:rsidRPr="009D47DE">
        <w:t xml:space="preserve">Leverage, a form of borrowing against a portfolio of assets, allows </w:t>
      </w:r>
      <w:proofErr w:type="spellStart"/>
      <w:r w:rsidRPr="009D47DE">
        <w:t>SRT</w:t>
      </w:r>
      <w:proofErr w:type="spellEnd"/>
      <w:r w:rsidRPr="009D47DE">
        <w:t xml:space="preserve"> buyers to juice their yields. </w:t>
      </w:r>
      <w:proofErr w:type="spellStart"/>
      <w:r w:rsidRPr="009D47DE">
        <w:t>SRT</w:t>
      </w:r>
      <w:proofErr w:type="spellEnd"/>
      <w:r w:rsidRPr="009D47DE">
        <w:t xml:space="preserve"> documents are frequently protected by non-disclosure agreements and issuers approve access to leverage providers. </w:t>
      </w:r>
    </w:p>
    <w:p w14:paraId="7AAEBEF3" w14:textId="77777777" w:rsidR="00F31F08" w:rsidRPr="009D47DE" w:rsidRDefault="00F31F08" w:rsidP="00F31F08">
      <w:r w:rsidRPr="009D47DE">
        <w:t>An ECB spokesman declined to comment.</w:t>
      </w:r>
    </w:p>
    <w:p w14:paraId="1CE05D4D" w14:textId="77777777" w:rsidR="00F31F08" w:rsidRPr="009D47DE" w:rsidRDefault="00F31F08" w:rsidP="00F31F08">
      <w:r w:rsidRPr="009D47DE">
        <w:t xml:space="preserve">The request is part of an effort by the ECB to understand who is ultimately holding the risk of the instruments. Banks have expanded their use of </w:t>
      </w:r>
      <w:proofErr w:type="spellStart"/>
      <w:r w:rsidRPr="009D47DE">
        <w:t>SRTs</w:t>
      </w:r>
      <w:proofErr w:type="spellEnd"/>
      <w:r w:rsidRPr="009D47DE">
        <w:t xml:space="preserve"> fivefold since 2016 to gain better regulatory treatment by offloading loan risks. </w:t>
      </w:r>
    </w:p>
    <w:p w14:paraId="66681189" w14:textId="77777777" w:rsidR="00F31F08" w:rsidRPr="009D47DE" w:rsidRDefault="00F31F08" w:rsidP="00F31F08">
      <w:r w:rsidRPr="009D47DE">
        <w:t xml:space="preserve">Read More: </w:t>
      </w:r>
      <w:hyperlink r:id="rId8" w:tgtFrame="_blank" w:history="1">
        <w:r w:rsidRPr="009D47DE">
          <w:rPr>
            <w:rStyle w:val="Hyperlink"/>
          </w:rPr>
          <w:t xml:space="preserve">ECB Warns on Synthetic </w:t>
        </w:r>
        <w:proofErr w:type="spellStart"/>
        <w:r w:rsidRPr="009D47DE">
          <w:rPr>
            <w:rStyle w:val="Hyperlink"/>
          </w:rPr>
          <w:t>SRTs</w:t>
        </w:r>
        <w:proofErr w:type="spellEnd"/>
        <w:r w:rsidRPr="009D47DE">
          <w:rPr>
            <w:rStyle w:val="Hyperlink"/>
          </w:rPr>
          <w:t xml:space="preserve"> as Europe Boosts Securitization </w:t>
        </w:r>
      </w:hyperlink>
    </w:p>
    <w:p w14:paraId="4175A84F" w14:textId="77777777" w:rsidR="00F31F08" w:rsidRPr="009D47DE" w:rsidRDefault="00F31F08" w:rsidP="00F31F08">
      <w:r w:rsidRPr="009D47DE">
        <w:t xml:space="preserve">Regulators have flagged up concerns about </w:t>
      </w:r>
      <w:hyperlink r:id="rId9" w:tgtFrame="_blank" w:history="1">
        <w:proofErr w:type="spellStart"/>
        <w:r w:rsidRPr="009D47DE">
          <w:rPr>
            <w:rStyle w:val="Hyperlink"/>
          </w:rPr>
          <w:t>SRT</w:t>
        </w:r>
        <w:proofErr w:type="spellEnd"/>
        <w:r w:rsidRPr="009D47DE">
          <w:rPr>
            <w:rStyle w:val="Hyperlink"/>
          </w:rPr>
          <w:t xml:space="preserve"> circularity</w:t>
        </w:r>
      </w:hyperlink>
      <w:r w:rsidRPr="009D47DE">
        <w:t xml:space="preserve"> in which banks are acting as both borrowers and lenders, potentially increasing systemic leverage.</w:t>
      </w:r>
    </w:p>
    <w:p w14:paraId="59C6BBFC" w14:textId="77777777" w:rsidR="00F31F08" w:rsidRPr="009D47DE" w:rsidRDefault="00F31F08" w:rsidP="00F31F08">
      <w:r w:rsidRPr="009D47DE">
        <w:t xml:space="preserve">The Bank for International Settlements said in a </w:t>
      </w:r>
      <w:hyperlink r:id="rId10" w:tgtFrame="_blank" w:history="1">
        <w:r w:rsidRPr="009D47DE">
          <w:rPr>
            <w:rStyle w:val="Hyperlink"/>
          </w:rPr>
          <w:t xml:space="preserve">paper </w:t>
        </w:r>
      </w:hyperlink>
      <w:r w:rsidRPr="009D47DE">
        <w:t xml:space="preserve">this week that </w:t>
      </w:r>
      <w:proofErr w:type="spellStart"/>
      <w:r w:rsidRPr="009D47DE">
        <w:t>SRTs</w:t>
      </w:r>
      <w:proofErr w:type="spellEnd"/>
      <w:r w:rsidRPr="009D47DE">
        <w:t xml:space="preserve"> can amplify the contagion risks between banks and other financial entities.</w:t>
      </w:r>
    </w:p>
    <w:p w14:paraId="382691DB" w14:textId="77777777" w:rsidR="00F31F08" w:rsidRPr="00630C52" w:rsidRDefault="00F31F08" w:rsidP="00F31F08">
      <w:hyperlink r:id="rId11" w:tgtFrame="_blank" w:history="1">
        <w:r w:rsidRPr="00630C52">
          <w:rPr>
            <w:rStyle w:val="Hyperlink"/>
          </w:rPr>
          <w:t>Synthetic Risk Transfer (</w:t>
        </w:r>
        <w:proofErr w:type="spellStart"/>
        <w:r w:rsidRPr="00630C52">
          <w:rPr>
            <w:rStyle w:val="Hyperlink"/>
          </w:rPr>
          <w:t>SRT</w:t>
        </w:r>
        <w:proofErr w:type="spellEnd"/>
        <w:r w:rsidRPr="00630C52">
          <w:rPr>
            <w:rStyle w:val="Hyperlink"/>
          </w:rPr>
          <w:t>)</w:t>
        </w:r>
      </w:hyperlink>
    </w:p>
    <w:p w14:paraId="3AB65A32" w14:textId="77777777" w:rsidR="00F31F08" w:rsidRPr="00630C52" w:rsidRDefault="00F31F08" w:rsidP="00F31F08">
      <w:r w:rsidRPr="00630C52">
        <w:t>is a rapidly growing investment strategy where banks transfer credit risk on loan portfolios (corporate, SME, real estate) to investors using derivatives like credit default swaps or guarantees, without selling the underlying assets. This allows banks to reduce regulatory capital requirements, while investors—mainly private funds, insurers, and pension managers—gain access to high-quality, bank-originated assets offering attractive risk-adjusted returns. </w:t>
      </w:r>
    </w:p>
    <w:p w14:paraId="00AF0FA0" w14:textId="77777777" w:rsidR="00F31F08" w:rsidRPr="00630C52" w:rsidRDefault="00F31F08" w:rsidP="00F31F08">
      <w:r w:rsidRPr="00630C52">
        <w:rPr>
          <w:b/>
          <w:bCs/>
        </w:rPr>
        <w:t xml:space="preserve">Key Aspects of </w:t>
      </w:r>
      <w:proofErr w:type="spellStart"/>
      <w:r w:rsidRPr="00630C52">
        <w:rPr>
          <w:b/>
          <w:bCs/>
        </w:rPr>
        <w:t>SRT</w:t>
      </w:r>
      <w:proofErr w:type="spellEnd"/>
      <w:r w:rsidRPr="00630C52">
        <w:rPr>
          <w:b/>
          <w:bCs/>
        </w:rPr>
        <w:t xml:space="preserve"> Investments</w:t>
      </w:r>
    </w:p>
    <w:p w14:paraId="56F73056" w14:textId="77777777" w:rsidR="00F31F08" w:rsidRPr="00630C52" w:rsidRDefault="00F31F08" w:rsidP="00F31F08">
      <w:pPr>
        <w:numPr>
          <w:ilvl w:val="0"/>
          <w:numId w:val="1"/>
        </w:numPr>
      </w:pPr>
      <w:r w:rsidRPr="00630C52">
        <w:rPr>
          <w:b/>
          <w:bCs/>
        </w:rPr>
        <w:t>Mechanism:</w:t>
      </w:r>
      <w:r w:rsidRPr="00630C52">
        <w:t xml:space="preserve"> Instead of selling loans, banks use "synthetic" securitization. The bank keeps the loans on its balance sheet, maintaining client relationships, while transferring the risk of losses to investors.</w:t>
      </w:r>
    </w:p>
    <w:p w14:paraId="64062A75" w14:textId="77777777" w:rsidR="00F31F08" w:rsidRPr="00630C52" w:rsidRDefault="00F31F08" w:rsidP="00F31F08">
      <w:pPr>
        <w:numPr>
          <w:ilvl w:val="0"/>
          <w:numId w:val="1"/>
        </w:numPr>
      </w:pPr>
      <w:r w:rsidRPr="00630C52">
        <w:rPr>
          <w:b/>
          <w:bCs/>
        </w:rPr>
        <w:t>Investor Appeal:</w:t>
      </w:r>
      <w:r w:rsidRPr="00630C52">
        <w:t xml:space="preserve"> </w:t>
      </w:r>
      <w:proofErr w:type="spellStart"/>
      <w:r w:rsidRPr="00630C52">
        <w:t>SRTs</w:t>
      </w:r>
      <w:proofErr w:type="spellEnd"/>
      <w:r w:rsidRPr="00630C52">
        <w:t xml:space="preserve"> offer attractive risk-adjusted returns, sitting between senior debt and equity in terms of risk.</w:t>
      </w:r>
    </w:p>
    <w:p w14:paraId="5B97C04A" w14:textId="77777777" w:rsidR="00F31F08" w:rsidRPr="00630C52" w:rsidRDefault="00F31F08" w:rsidP="00F31F08">
      <w:pPr>
        <w:numPr>
          <w:ilvl w:val="0"/>
          <w:numId w:val="1"/>
        </w:numPr>
      </w:pPr>
      <w:r w:rsidRPr="00630C52">
        <w:rPr>
          <w:b/>
          <w:bCs/>
        </w:rPr>
        <w:lastRenderedPageBreak/>
        <w:t>Market Growth:</w:t>
      </w:r>
      <w:r w:rsidRPr="00630C52">
        <w:t xml:space="preserve"> The market has grown rapidly, with underlying asset value reaching $375 billion in 2025 across 169 transactions.</w:t>
      </w:r>
    </w:p>
    <w:p w14:paraId="67B8C566" w14:textId="77777777" w:rsidR="00F31F08" w:rsidRPr="00630C52" w:rsidRDefault="00F31F08" w:rsidP="00F31F08">
      <w:pPr>
        <w:numPr>
          <w:ilvl w:val="0"/>
          <w:numId w:val="1"/>
        </w:numPr>
      </w:pPr>
      <w:r w:rsidRPr="00630C52">
        <w:rPr>
          <w:b/>
          <w:bCs/>
        </w:rPr>
        <w:t>Regulatory Drivers:</w:t>
      </w:r>
      <w:r w:rsidRPr="00630C52">
        <w:t xml:space="preserve"> With </w:t>
      </w:r>
      <w:hyperlink r:id="rId12" w:tgtFrame="_blank" w:history="1">
        <w:r w:rsidRPr="00630C52">
          <w:rPr>
            <w:rStyle w:val="Hyperlink"/>
          </w:rPr>
          <w:t>Basel 3.1 regulations</w:t>
        </w:r>
      </w:hyperlink>
      <w:r w:rsidRPr="00630C52">
        <w:t xml:space="preserve"> making capital-intensive portfolios like commercial real estate more expensive for banks, </w:t>
      </w:r>
      <w:proofErr w:type="spellStart"/>
      <w:r w:rsidRPr="00630C52">
        <w:t>SRTs</w:t>
      </w:r>
      <w:proofErr w:type="spellEnd"/>
      <w:r w:rsidRPr="00630C52">
        <w:t xml:space="preserve"> provide vital capital relief, particularly as US banks increase usage, according to </w:t>
      </w:r>
      <w:hyperlink r:id="rId13" w:tgtFrame="_blank" w:history="1">
        <w:r w:rsidRPr="00630C52">
          <w:rPr>
            <w:rStyle w:val="Hyperlink"/>
          </w:rPr>
          <w:t>PAG</w:t>
        </w:r>
      </w:hyperlink>
      <w:r w:rsidRPr="00630C52">
        <w:t>.</w:t>
      </w:r>
    </w:p>
    <w:p w14:paraId="3679D730" w14:textId="77777777" w:rsidR="00F31F08" w:rsidRDefault="00F31F08" w:rsidP="00F31F08">
      <w:pPr>
        <w:numPr>
          <w:ilvl w:val="0"/>
          <w:numId w:val="1"/>
        </w:numPr>
      </w:pPr>
      <w:r w:rsidRPr="00630C52">
        <w:rPr>
          <w:b/>
          <w:bCs/>
        </w:rPr>
        <w:t>Risks &amp; Leverage:</w:t>
      </w:r>
      <w:r w:rsidRPr="00630C52">
        <w:t xml:space="preserve"> While </w:t>
      </w:r>
      <w:proofErr w:type="spellStart"/>
      <w:r w:rsidRPr="00630C52">
        <w:t>SRTs</w:t>
      </w:r>
      <w:proofErr w:type="spellEnd"/>
      <w:r w:rsidRPr="00630C52">
        <w:t xml:space="preserve"> provide diversification, they involve risks such as credit defaults within the loan portfolio. Investors may use leverage to boost returns, which can amplify both gains and losses, notes a </w:t>
      </w:r>
      <w:hyperlink r:id="rId14" w:tgtFrame="_blank" w:history="1">
        <w:r w:rsidRPr="00630C52">
          <w:rPr>
            <w:rStyle w:val="Hyperlink"/>
          </w:rPr>
          <w:t>Bank for International Settlements report</w:t>
        </w:r>
      </w:hyperlink>
      <w:r w:rsidRPr="00630C52">
        <w:t>. </w:t>
      </w:r>
    </w:p>
    <w:p w14:paraId="7B410CF3" w14:textId="77777777" w:rsidR="00F31F08" w:rsidRDefault="00F31F08" w:rsidP="00F31F08">
      <w:pPr>
        <w:ind w:left="720"/>
      </w:pPr>
      <w:r>
        <w:t xml:space="preserve">1.2 </w:t>
      </w:r>
      <w:proofErr w:type="spellStart"/>
      <w:r>
        <w:t>SRT</w:t>
      </w:r>
      <w:proofErr w:type="spellEnd"/>
      <w:r>
        <w:t xml:space="preserve"> structures</w:t>
      </w:r>
    </w:p>
    <w:p w14:paraId="099AAF2E" w14:textId="77777777" w:rsidR="00F31F08" w:rsidRDefault="00F31F08" w:rsidP="00F31F08">
      <w:pPr>
        <w:ind w:left="720"/>
      </w:pPr>
      <w:r>
        <w:t xml:space="preserve">Synthetic risk transfers can take a variety of forms. In some cases, the bank may directly interface with the protection provider. Examples of this include </w:t>
      </w:r>
      <w:proofErr w:type="spellStart"/>
      <w:r>
        <w:t>SRTs</w:t>
      </w:r>
      <w:proofErr w:type="spellEnd"/>
      <w:r>
        <w:t xml:space="preserve"> in the form of directly issued credit-linked notes (</w:t>
      </w:r>
      <w:proofErr w:type="spellStart"/>
      <w:r>
        <w:t>CLNs</w:t>
      </w:r>
      <w:proofErr w:type="spellEnd"/>
      <w:r>
        <w:t>) that the bank sells to investors or bilateral derivatives (</w:t>
      </w:r>
      <w:proofErr w:type="spellStart"/>
      <w:r>
        <w:t>eg</w:t>
      </w:r>
      <w:proofErr w:type="spellEnd"/>
      <w:r>
        <w:t xml:space="preserve"> credit default swap) or guarantees with a protection provider. In other cases, an SPE may issue </w:t>
      </w:r>
      <w:proofErr w:type="spellStart"/>
      <w:r>
        <w:t>CLNs</w:t>
      </w:r>
      <w:proofErr w:type="spellEnd"/>
      <w:r>
        <w:t xml:space="preserve"> to investors with the proceeds used to provide protection to the bank via a derivative or guarantee. While each of these structures may result in identical capital relief, banks may prefer one structure over another based on relative financial or operational costs given the nature of the portfolio, depth of investor base or other factors. For example, it may be easier for a bank to structure an </w:t>
      </w:r>
      <w:proofErr w:type="spellStart"/>
      <w:r>
        <w:t>SRT</w:t>
      </w:r>
      <w:proofErr w:type="spellEnd"/>
      <w:r>
        <w:t xml:space="preserve"> for a more complex portfolio as a derivative with a single sophisticated counterparty, whereas a less complex portfolio may be easier to package as a </w:t>
      </w:r>
      <w:proofErr w:type="spellStart"/>
      <w:r>
        <w:t>CLN</w:t>
      </w:r>
      <w:proofErr w:type="spellEnd"/>
      <w:r>
        <w:t xml:space="preserve"> for a wider investor base.</w:t>
      </w:r>
    </w:p>
    <w:p w14:paraId="0E3F3694" w14:textId="77777777" w:rsidR="00F31F08" w:rsidRPr="00630C52" w:rsidRDefault="00F31F08" w:rsidP="00F31F08">
      <w:pPr>
        <w:ind w:left="720"/>
      </w:pPr>
      <w:r w:rsidRPr="00406554">
        <w:drawing>
          <wp:inline distT="0" distB="0" distL="0" distR="0" wp14:anchorId="5CC134BB" wp14:editId="7B10BEC0">
            <wp:extent cx="5943600" cy="2642235"/>
            <wp:effectExtent l="0" t="0" r="0" b="5715"/>
            <wp:docPr id="114547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477979" name=""/>
                    <pic:cNvPicPr/>
                  </pic:nvPicPr>
                  <pic:blipFill>
                    <a:blip r:embed="rId15"/>
                    <a:stretch>
                      <a:fillRect/>
                    </a:stretch>
                  </pic:blipFill>
                  <pic:spPr>
                    <a:xfrm>
                      <a:off x="0" y="0"/>
                      <a:ext cx="5943600" cy="2642235"/>
                    </a:xfrm>
                    <a:prstGeom prst="rect">
                      <a:avLst/>
                    </a:prstGeom>
                  </pic:spPr>
                </pic:pic>
              </a:graphicData>
            </a:graphic>
          </wp:inline>
        </w:drawing>
      </w:r>
    </w:p>
    <w:p w14:paraId="2A1D8E74" w14:textId="77777777" w:rsidR="00F31F08" w:rsidRPr="00630C52" w:rsidRDefault="00F31F08" w:rsidP="00F31F08">
      <w:pPr>
        <w:rPr>
          <w:lang w:val="el-GR"/>
        </w:rPr>
      </w:pPr>
      <w:r w:rsidRPr="00630C52">
        <w:rPr>
          <w:b/>
          <w:bCs/>
        </w:rPr>
        <w:t xml:space="preserve">Difference Between </w:t>
      </w:r>
      <w:proofErr w:type="spellStart"/>
      <w:r w:rsidRPr="00630C52">
        <w:rPr>
          <w:b/>
          <w:bCs/>
        </w:rPr>
        <w:t>SRT</w:t>
      </w:r>
      <w:proofErr w:type="spellEnd"/>
      <w:r w:rsidRPr="00630C52">
        <w:rPr>
          <w:b/>
          <w:bCs/>
        </w:rPr>
        <w:t xml:space="preserve"> and CLOs</w:t>
      </w:r>
      <w:r w:rsidRPr="00630C52">
        <w:br/>
        <w:t xml:space="preserve">While both involve credit, </w:t>
      </w:r>
      <w:hyperlink r:id="rId16" w:tgtFrame="_blank" w:history="1">
        <w:proofErr w:type="spellStart"/>
        <w:r w:rsidRPr="00630C52">
          <w:rPr>
            <w:rStyle w:val="Hyperlink"/>
          </w:rPr>
          <w:t>SRTs</w:t>
        </w:r>
        <w:proofErr w:type="spellEnd"/>
      </w:hyperlink>
      <w:r w:rsidRPr="00630C52">
        <w:t xml:space="preserve"> are driven by bank regulatory capital relief and usually retain assets on the balance sheet, whereas CLOs are investor-driven, selling the assets to a special </w:t>
      </w:r>
      <w:r w:rsidRPr="00630C52">
        <w:lastRenderedPageBreak/>
        <w:t>purpose vehicle (</w:t>
      </w:r>
      <w:proofErr w:type="spellStart"/>
      <w:r w:rsidRPr="00630C52">
        <w:t>SPV</w:t>
      </w:r>
      <w:proofErr w:type="spellEnd"/>
      <w:r w:rsidRPr="00630C52">
        <w:t>). </w:t>
      </w:r>
      <w:r w:rsidRPr="00406554">
        <w:rPr>
          <w:lang w:val="el-GR"/>
        </w:rPr>
        <w:t xml:space="preserve">Οι </w:t>
      </w:r>
      <w:hyperlink r:id="rId17" w:history="1">
        <w:r w:rsidRPr="00406554">
          <w:rPr>
            <w:rStyle w:val="Hyperlink"/>
            <w:lang w:val="el-GR"/>
          </w:rPr>
          <w:t xml:space="preserve">επενδύσεις </w:t>
        </w:r>
        <w:r w:rsidRPr="00406554">
          <w:rPr>
            <w:rStyle w:val="Hyperlink"/>
          </w:rPr>
          <w:t>CLO</w:t>
        </w:r>
      </w:hyperlink>
      <w:r w:rsidRPr="00406554">
        <w:rPr>
          <w:lang w:val="el-GR"/>
        </w:rPr>
        <w:t xml:space="preserve"> (</w:t>
      </w:r>
      <w:r w:rsidRPr="00406554">
        <w:t>Collateralized</w:t>
      </w:r>
      <w:r w:rsidRPr="00406554">
        <w:rPr>
          <w:lang w:val="el-GR"/>
        </w:rPr>
        <w:t xml:space="preserve"> </w:t>
      </w:r>
      <w:r w:rsidRPr="00406554">
        <w:t>Loan</w:t>
      </w:r>
      <w:r w:rsidRPr="00406554">
        <w:rPr>
          <w:lang w:val="el-GR"/>
        </w:rPr>
        <w:t xml:space="preserve"> </w:t>
      </w:r>
      <w:r w:rsidRPr="00406554">
        <w:t>Obligations</w:t>
      </w:r>
      <w:r w:rsidRPr="00406554">
        <w:rPr>
          <w:lang w:val="el-GR"/>
        </w:rPr>
        <w:t>) αφορούν δομημένα χρεόγραφα που υποστηρίζονται από ένα διαφοροποιημένο χαρτοφυλάκιο μοχλευμένων δανείων, προσφέροντας κυμαινόμενο επιτόκιο. Παρέχουν υψηλές αποδόσεις, ιστορικά διψήφιες για τα μετοχικά κεφάλαια (</w:t>
      </w:r>
      <w:r w:rsidRPr="00406554">
        <w:t>CLO</w:t>
      </w:r>
      <w:r w:rsidRPr="00406554">
        <w:rPr>
          <w:lang w:val="el-GR"/>
        </w:rPr>
        <w:t xml:space="preserve"> </w:t>
      </w:r>
      <w:r w:rsidRPr="00406554">
        <w:t>equity</w:t>
      </w:r>
      <w:r w:rsidRPr="00406554">
        <w:rPr>
          <w:lang w:val="el-GR"/>
        </w:rPr>
        <w:t>), και λειτουργούν ως άμυνα έναντι της μεταβλητότητας των επιτοκίων. Οι επενδυτές επιλέγουν ανάμεσα σε διαφορετικές βαθμίδες (</w:t>
      </w:r>
      <w:r w:rsidRPr="00406554">
        <w:t>tranches</w:t>
      </w:r>
      <w:r w:rsidRPr="00406554">
        <w:rPr>
          <w:lang w:val="el-GR"/>
        </w:rPr>
        <w:t xml:space="preserve">) ρίσκου-απόδοσης, από </w:t>
      </w:r>
      <w:r w:rsidRPr="00406554">
        <w:t>AAA</w:t>
      </w:r>
      <w:r w:rsidRPr="00406554">
        <w:rPr>
          <w:lang w:val="el-GR"/>
        </w:rPr>
        <w:t xml:space="preserve"> έως μετοχικούς τίτλους</w:t>
      </w:r>
    </w:p>
    <w:p w14:paraId="4AEEC4F1" w14:textId="77777777" w:rsidR="00F31F08" w:rsidRPr="00406554" w:rsidRDefault="00F31F08" w:rsidP="00F31F08">
      <w:pPr>
        <w:rPr>
          <w:b/>
          <w:bCs/>
        </w:rPr>
      </w:pPr>
      <w:r w:rsidRPr="00406554">
        <w:rPr>
          <w:b/>
          <w:bCs/>
        </w:rPr>
        <w:t xml:space="preserve">What Are </w:t>
      </w:r>
      <w:proofErr w:type="spellStart"/>
      <w:r w:rsidRPr="00406554">
        <w:rPr>
          <w:b/>
          <w:bCs/>
        </w:rPr>
        <w:t>SRT</w:t>
      </w:r>
      <w:proofErr w:type="spellEnd"/>
      <w:r w:rsidRPr="00406554">
        <w:rPr>
          <w:b/>
          <w:bCs/>
        </w:rPr>
        <w:t xml:space="preserve"> Transactions?</w:t>
      </w:r>
    </w:p>
    <w:p w14:paraId="4506325C" w14:textId="77777777" w:rsidR="00F31F08" w:rsidRPr="00406554" w:rsidRDefault="00F31F08" w:rsidP="00F31F08">
      <w:r w:rsidRPr="00406554">
        <w:t xml:space="preserve">Banks frequently originate loans that require regulatory capital backing under rules like Basel III. To efficiently manage their capital, banks turn to </w:t>
      </w:r>
      <w:proofErr w:type="spellStart"/>
      <w:r w:rsidRPr="00406554">
        <w:t>SRT</w:t>
      </w:r>
      <w:proofErr w:type="spellEnd"/>
      <w:r w:rsidRPr="00406554">
        <w:t xml:space="preserve"> transactions. In an </w:t>
      </w:r>
      <w:proofErr w:type="spellStart"/>
      <w:r w:rsidRPr="00406554">
        <w:t>SRT</w:t>
      </w:r>
      <w:proofErr w:type="spellEnd"/>
      <w:r w:rsidRPr="00406554">
        <w:t xml:space="preserve"> deal, the bank retains the underlying loans on its balance sheet but transfers a significant portion of their risk to external investors, typically through credit derivatives such as credit-linked notes. The goal is regulatory capital relief.</w:t>
      </w:r>
    </w:p>
    <w:p w14:paraId="19C6C0FA" w14:textId="77777777" w:rsidR="00F31F08" w:rsidRPr="00406554" w:rsidRDefault="00F31F08" w:rsidP="00F31F08">
      <w:pPr>
        <w:rPr>
          <w:b/>
          <w:bCs/>
        </w:rPr>
      </w:pPr>
      <w:r w:rsidRPr="00406554">
        <w:rPr>
          <w:b/>
          <w:bCs/>
        </w:rPr>
        <w:t>What Are CLOs?</w:t>
      </w:r>
    </w:p>
    <w:p w14:paraId="78E5EA38" w14:textId="77777777" w:rsidR="00F31F08" w:rsidRPr="00406554" w:rsidRDefault="00F31F08" w:rsidP="00F31F08">
      <w:r w:rsidRPr="00406554">
        <w:t xml:space="preserve">CLOs, on the other hand, are structured finance vehicles that purchase a diverse portfolio of corporate loans, financing them by issuing multiple tranches of debt (and equity) to investors. Unlike </w:t>
      </w:r>
      <w:proofErr w:type="spellStart"/>
      <w:r w:rsidRPr="00406554">
        <w:t>SRT</w:t>
      </w:r>
      <w:proofErr w:type="spellEnd"/>
      <w:r w:rsidRPr="00406554">
        <w:t>, CLO assets reside off the bank's balance sheet and are actively managed by a dedicated CLO manager to maintain credit quality or pursue attractive returns.</w:t>
      </w:r>
    </w:p>
    <w:p w14:paraId="2757576A" w14:textId="77777777" w:rsidR="00F31F08" w:rsidRDefault="00F31F08" w:rsidP="00F31F08"/>
    <w:p w14:paraId="1558F201" w14:textId="77777777" w:rsidR="00E508B7" w:rsidRPr="001B2D97" w:rsidRDefault="00E508B7" w:rsidP="00E508B7">
      <w:pPr>
        <w:rPr>
          <w:b/>
          <w:bCs/>
          <w:lang w:val="el-GR"/>
        </w:rPr>
      </w:pPr>
      <w:r w:rsidRPr="001B2D97">
        <w:rPr>
          <w:b/>
          <w:bCs/>
          <w:lang w:val="el-GR"/>
        </w:rPr>
        <w:t xml:space="preserve">Η ΕΚΤ καλεί τις τράπεζες να προσδιορίσουν τους παρόχους μόχλευσης στις συμφωνίες </w:t>
      </w:r>
      <w:proofErr w:type="spellStart"/>
      <w:r w:rsidRPr="009D47DE">
        <w:rPr>
          <w:b/>
          <w:bCs/>
        </w:rPr>
        <w:t>SRT</w:t>
      </w:r>
      <w:proofErr w:type="spellEnd"/>
    </w:p>
    <w:p w14:paraId="1048DAB2" w14:textId="77777777" w:rsidR="00E508B7" w:rsidRPr="001B2D97" w:rsidRDefault="00E508B7" w:rsidP="00E508B7">
      <w:pPr>
        <w:rPr>
          <w:lang w:val="el-GR"/>
        </w:rPr>
      </w:pPr>
      <w:r w:rsidRPr="001B2D97">
        <w:rPr>
          <w:lang w:val="el-GR"/>
        </w:rPr>
        <w:t xml:space="preserve">Από </w:t>
      </w:r>
      <w:r>
        <w:fldChar w:fldCharType="begin"/>
      </w:r>
      <w:r>
        <w:instrText>HYPERLINK</w:instrText>
      </w:r>
      <w:r w:rsidRPr="001B2D97">
        <w:rPr>
          <w:lang w:val="el-GR"/>
        </w:rPr>
        <w:instrText xml:space="preserve"> "</w:instrText>
      </w:r>
      <w:r>
        <w:instrText>https</w:instrText>
      </w:r>
      <w:r w:rsidRPr="001B2D97">
        <w:rPr>
          <w:lang w:val="el-GR"/>
        </w:rPr>
        <w:instrText>://</w:instrText>
      </w:r>
      <w:r>
        <w:instrText>www</w:instrText>
      </w:r>
      <w:r w:rsidRPr="001B2D97">
        <w:rPr>
          <w:lang w:val="el-GR"/>
        </w:rPr>
        <w:instrText>.</w:instrText>
      </w:r>
      <w:r>
        <w:instrText>bloomberg</w:instrText>
      </w:r>
      <w:r w:rsidRPr="001B2D97">
        <w:rPr>
          <w:lang w:val="el-GR"/>
        </w:rPr>
        <w:instrText>.</w:instrText>
      </w:r>
      <w:r>
        <w:instrText>com</w:instrText>
      </w:r>
      <w:r w:rsidRPr="001B2D97">
        <w:rPr>
          <w:lang w:val="el-GR"/>
        </w:rPr>
        <w:instrText>/</w:instrText>
      </w:r>
      <w:r>
        <w:instrText>authors</w:instrText>
      </w:r>
      <w:r w:rsidRPr="001B2D97">
        <w:rPr>
          <w:lang w:val="el-GR"/>
        </w:rPr>
        <w:instrText>/</w:instrText>
      </w:r>
      <w:r>
        <w:instrText>AOUfBtus</w:instrText>
      </w:r>
      <w:r w:rsidRPr="001B2D97">
        <w:rPr>
          <w:lang w:val="el-GR"/>
        </w:rPr>
        <w:instrText>1</w:instrText>
      </w:r>
      <w:r>
        <w:instrText>QY</w:instrText>
      </w:r>
      <w:r w:rsidRPr="001B2D97">
        <w:rPr>
          <w:lang w:val="el-GR"/>
        </w:rPr>
        <w:instrText>/</w:instrText>
      </w:r>
      <w:r>
        <w:instrText>esteban</w:instrText>
      </w:r>
      <w:r w:rsidRPr="001B2D97">
        <w:rPr>
          <w:lang w:val="el-GR"/>
        </w:rPr>
        <w:instrText>-</w:instrText>
      </w:r>
      <w:r>
        <w:instrText>duarte</w:instrText>
      </w:r>
      <w:r w:rsidRPr="001B2D97">
        <w:rPr>
          <w:lang w:val="el-GR"/>
        </w:rPr>
        <w:instrText>"</w:instrText>
      </w:r>
      <w:r>
        <w:fldChar w:fldCharType="separate"/>
      </w:r>
      <w:r w:rsidRPr="001B2D97">
        <w:rPr>
          <w:rStyle w:val="Hyperlink"/>
          <w:lang w:val="el-GR"/>
        </w:rPr>
        <w:t xml:space="preserve">τους </w:t>
      </w:r>
      <w:r w:rsidRPr="009D47DE">
        <w:rPr>
          <w:rStyle w:val="Hyperlink"/>
        </w:rPr>
        <w:t>Esteban</w:t>
      </w:r>
      <w:r w:rsidRPr="001B2D97">
        <w:rPr>
          <w:rStyle w:val="Hyperlink"/>
          <w:lang w:val="el-GR"/>
        </w:rPr>
        <w:t xml:space="preserve"> </w:t>
      </w:r>
      <w:r w:rsidRPr="009D47DE">
        <w:rPr>
          <w:rStyle w:val="Hyperlink"/>
        </w:rPr>
        <w:t>Duarte</w:t>
      </w:r>
      <w:r>
        <w:fldChar w:fldCharType="end"/>
      </w:r>
      <w:r w:rsidRPr="001B2D97">
        <w:rPr>
          <w:lang w:val="el-GR"/>
        </w:rPr>
        <w:t xml:space="preserve">, </w:t>
      </w:r>
      <w:r>
        <w:fldChar w:fldCharType="begin"/>
      </w:r>
      <w:r>
        <w:instrText>HYPERLINK</w:instrText>
      </w:r>
      <w:r w:rsidRPr="001B2D97">
        <w:rPr>
          <w:lang w:val="el-GR"/>
        </w:rPr>
        <w:instrText xml:space="preserve"> "</w:instrText>
      </w:r>
      <w:r>
        <w:instrText>https</w:instrText>
      </w:r>
      <w:r w:rsidRPr="001B2D97">
        <w:rPr>
          <w:lang w:val="el-GR"/>
        </w:rPr>
        <w:instrText>://</w:instrText>
      </w:r>
      <w:r>
        <w:instrText>www</w:instrText>
      </w:r>
      <w:r w:rsidRPr="001B2D97">
        <w:rPr>
          <w:lang w:val="el-GR"/>
        </w:rPr>
        <w:instrText>.</w:instrText>
      </w:r>
      <w:r>
        <w:instrText>bloomberg</w:instrText>
      </w:r>
      <w:r w:rsidRPr="001B2D97">
        <w:rPr>
          <w:lang w:val="el-GR"/>
        </w:rPr>
        <w:instrText>.</w:instrText>
      </w:r>
      <w:r>
        <w:instrText>com</w:instrText>
      </w:r>
      <w:r w:rsidRPr="001B2D97">
        <w:rPr>
          <w:lang w:val="el-GR"/>
        </w:rPr>
        <w:instrText>/</w:instrText>
      </w:r>
      <w:r>
        <w:instrText>authors</w:instrText>
      </w:r>
      <w:r w:rsidRPr="001B2D97">
        <w:rPr>
          <w:lang w:val="el-GR"/>
        </w:rPr>
        <w:instrText>/</w:instrText>
      </w:r>
      <w:r>
        <w:instrText>AXMJgpf</w:instrText>
      </w:r>
      <w:r w:rsidRPr="001B2D97">
        <w:rPr>
          <w:lang w:val="el-GR"/>
        </w:rPr>
        <w:instrText>38</w:instrText>
      </w:r>
      <w:r>
        <w:instrText>TE</w:instrText>
      </w:r>
      <w:r w:rsidRPr="001B2D97">
        <w:rPr>
          <w:lang w:val="el-GR"/>
        </w:rPr>
        <w:instrText>/</w:instrText>
      </w:r>
      <w:r>
        <w:instrText>claudia</w:instrText>
      </w:r>
      <w:r w:rsidRPr="001B2D97">
        <w:rPr>
          <w:lang w:val="el-GR"/>
        </w:rPr>
        <w:instrText>-</w:instrText>
      </w:r>
      <w:r>
        <w:instrText>cohen</w:instrText>
      </w:r>
      <w:r w:rsidRPr="001B2D97">
        <w:rPr>
          <w:lang w:val="el-GR"/>
        </w:rPr>
        <w:instrText>"</w:instrText>
      </w:r>
      <w:r>
        <w:fldChar w:fldCharType="separate"/>
      </w:r>
      <w:r w:rsidRPr="009D47DE">
        <w:rPr>
          <w:rStyle w:val="Hyperlink"/>
        </w:rPr>
        <w:t>Claudia</w:t>
      </w:r>
      <w:r w:rsidRPr="001B2D97">
        <w:rPr>
          <w:rStyle w:val="Hyperlink"/>
          <w:lang w:val="el-GR"/>
        </w:rPr>
        <w:t xml:space="preserve"> </w:t>
      </w:r>
      <w:r w:rsidRPr="009D47DE">
        <w:rPr>
          <w:rStyle w:val="Hyperlink"/>
        </w:rPr>
        <w:t>Cohen</w:t>
      </w:r>
      <w:r>
        <w:fldChar w:fldCharType="end"/>
      </w:r>
      <w:r w:rsidRPr="001B2D97">
        <w:rPr>
          <w:lang w:val="el-GR"/>
        </w:rPr>
        <w:t xml:space="preserve"> και </w:t>
      </w:r>
      <w:r>
        <w:fldChar w:fldCharType="begin"/>
      </w:r>
      <w:r>
        <w:instrText>HYPERLINK</w:instrText>
      </w:r>
      <w:r w:rsidRPr="001B2D97">
        <w:rPr>
          <w:lang w:val="el-GR"/>
        </w:rPr>
        <w:instrText xml:space="preserve"> "</w:instrText>
      </w:r>
      <w:r>
        <w:instrText>https</w:instrText>
      </w:r>
      <w:r w:rsidRPr="001B2D97">
        <w:rPr>
          <w:lang w:val="el-GR"/>
        </w:rPr>
        <w:instrText>://</w:instrText>
      </w:r>
      <w:r>
        <w:instrText>www</w:instrText>
      </w:r>
      <w:r w:rsidRPr="001B2D97">
        <w:rPr>
          <w:lang w:val="el-GR"/>
        </w:rPr>
        <w:instrText>.</w:instrText>
      </w:r>
      <w:r>
        <w:instrText>bloomberg</w:instrText>
      </w:r>
      <w:r w:rsidRPr="001B2D97">
        <w:rPr>
          <w:lang w:val="el-GR"/>
        </w:rPr>
        <w:instrText>.</w:instrText>
      </w:r>
      <w:r>
        <w:instrText>com</w:instrText>
      </w:r>
      <w:r w:rsidRPr="001B2D97">
        <w:rPr>
          <w:lang w:val="el-GR"/>
        </w:rPr>
        <w:instrText>/</w:instrText>
      </w:r>
      <w:r>
        <w:instrText>authors</w:instrText>
      </w:r>
      <w:r w:rsidRPr="001B2D97">
        <w:rPr>
          <w:lang w:val="el-GR"/>
        </w:rPr>
        <w:instrText>/</w:instrText>
      </w:r>
      <w:r>
        <w:instrText>AOp</w:instrText>
      </w:r>
      <w:r w:rsidRPr="001B2D97">
        <w:rPr>
          <w:lang w:val="el-GR"/>
        </w:rPr>
        <w:instrText>9</w:instrText>
      </w:r>
      <w:r>
        <w:instrText>iyfjAFQ</w:instrText>
      </w:r>
      <w:r w:rsidRPr="001B2D97">
        <w:rPr>
          <w:lang w:val="el-GR"/>
        </w:rPr>
        <w:instrText>/</w:instrText>
      </w:r>
      <w:r>
        <w:instrText>nicholas</w:instrText>
      </w:r>
      <w:r w:rsidRPr="001B2D97">
        <w:rPr>
          <w:lang w:val="el-GR"/>
        </w:rPr>
        <w:instrText>-</w:instrText>
      </w:r>
      <w:r>
        <w:instrText>comfort</w:instrText>
      </w:r>
      <w:r w:rsidRPr="001B2D97">
        <w:rPr>
          <w:lang w:val="el-GR"/>
        </w:rPr>
        <w:instrText>"</w:instrText>
      </w:r>
      <w:r>
        <w:fldChar w:fldCharType="separate"/>
      </w:r>
      <w:r w:rsidRPr="009D47DE">
        <w:rPr>
          <w:rStyle w:val="Hyperlink"/>
        </w:rPr>
        <w:t>Nicholas</w:t>
      </w:r>
      <w:r w:rsidRPr="001B2D97">
        <w:rPr>
          <w:rStyle w:val="Hyperlink"/>
          <w:lang w:val="el-GR"/>
        </w:rPr>
        <w:t xml:space="preserve"> </w:t>
      </w:r>
      <w:r w:rsidRPr="009D47DE">
        <w:rPr>
          <w:rStyle w:val="Hyperlink"/>
        </w:rPr>
        <w:t>Comfort</w:t>
      </w:r>
      <w:r>
        <w:fldChar w:fldCharType="end"/>
      </w:r>
    </w:p>
    <w:p w14:paraId="55FA9955" w14:textId="77777777" w:rsidR="00E508B7" w:rsidRPr="001B2D97" w:rsidRDefault="00E508B7" w:rsidP="00E508B7">
      <w:pPr>
        <w:rPr>
          <w:lang w:val="el-GR"/>
        </w:rPr>
      </w:pPr>
      <w:r w:rsidRPr="001B2D97">
        <w:rPr>
          <w:lang w:val="el-GR"/>
        </w:rPr>
        <w:t xml:space="preserve">19 Μαρτίου 2026 στις 6:29 μ.μ. </w:t>
      </w:r>
      <w:r w:rsidRPr="009D47DE">
        <w:t>GMT</w:t>
      </w:r>
      <w:r w:rsidRPr="001B2D97">
        <w:rPr>
          <w:lang w:val="el-GR"/>
        </w:rPr>
        <w:t>+2</w:t>
      </w:r>
    </w:p>
    <w:p w14:paraId="09D93457" w14:textId="77777777" w:rsidR="00E508B7" w:rsidRPr="001B2D97" w:rsidRDefault="00E508B7" w:rsidP="00E508B7">
      <w:pPr>
        <w:rPr>
          <w:lang w:val="el-GR"/>
        </w:rPr>
      </w:pPr>
      <w:r w:rsidRPr="001B2D97">
        <w:rPr>
          <w:lang w:val="el-GR"/>
        </w:rPr>
        <w:t>Η Ευρωπαϊκή Κεντρική Τράπεζα διερευνά τη χρήση μόχλευσης που στηρίζει την ταχέως αναπτυσσόμενη αγορά μεταφοράς σημαντικού κινδύνου των τραπεζών, σύμφωνα με άτομα που γνωρίζουν το θέμα.</w:t>
      </w:r>
    </w:p>
    <w:p w14:paraId="6CB994A4" w14:textId="77777777" w:rsidR="00E508B7" w:rsidRPr="001B2D97" w:rsidRDefault="00E508B7" w:rsidP="00E508B7">
      <w:pPr>
        <w:rPr>
          <w:lang w:val="el-GR"/>
        </w:rPr>
      </w:pPr>
      <w:r w:rsidRPr="001B2D97">
        <w:rPr>
          <w:lang w:val="el-GR"/>
        </w:rPr>
        <w:t xml:space="preserve">Η ΕΚΤ αναζητά λεπτομέρειες για τις τράπεζες που δανείζουν σε αγοραστές </w:t>
      </w:r>
      <w:proofErr w:type="spellStart"/>
      <w:r w:rsidRPr="009D47DE">
        <w:t>SRT</w:t>
      </w:r>
      <w:proofErr w:type="spellEnd"/>
      <w:r w:rsidRPr="001B2D97">
        <w:rPr>
          <w:lang w:val="el-GR"/>
        </w:rPr>
        <w:t xml:space="preserve">, είπαν οι άνθρωποι, οι οποίοι αρνήθηκαν να κατονομαστούν επειδή οι συζητήσεις είναι ιδιωτικές. </w:t>
      </w:r>
    </w:p>
    <w:p w14:paraId="268849C5" w14:textId="77777777" w:rsidR="00E508B7" w:rsidRPr="001B2D97" w:rsidRDefault="00E508B7" w:rsidP="00E508B7">
      <w:pPr>
        <w:rPr>
          <w:lang w:val="el-GR"/>
        </w:rPr>
      </w:pPr>
      <w:r w:rsidRPr="001B2D97">
        <w:rPr>
          <w:lang w:val="el-GR"/>
        </w:rPr>
        <w:t xml:space="preserve">Η μόχλευση, μια μορφή δανεισμού έναντι ενός χαρτοφυλακίου περιουσιακών στοιχείων, επιτρέπει στους αγοραστές </w:t>
      </w:r>
      <w:proofErr w:type="spellStart"/>
      <w:r w:rsidRPr="009D47DE">
        <w:t>SRT</w:t>
      </w:r>
      <w:proofErr w:type="spellEnd"/>
      <w:r w:rsidRPr="001B2D97">
        <w:rPr>
          <w:lang w:val="el-GR"/>
        </w:rPr>
        <w:t xml:space="preserve"> να απομυζήσουν τις αποδόσεις τους. Τα έγγραφα </w:t>
      </w:r>
      <w:proofErr w:type="spellStart"/>
      <w:r w:rsidRPr="009D47DE">
        <w:t>SRT</w:t>
      </w:r>
      <w:proofErr w:type="spellEnd"/>
      <w:r w:rsidRPr="001B2D97">
        <w:rPr>
          <w:lang w:val="el-GR"/>
        </w:rPr>
        <w:t xml:space="preserve"> προστατεύονται συχνά από συμφωνίες μη αποκάλυψης και οι εκδότες εγκρίνουν την πρόσβαση σε παρόχους μόχλευσης. </w:t>
      </w:r>
    </w:p>
    <w:p w14:paraId="5582DD83" w14:textId="77777777" w:rsidR="00E508B7" w:rsidRPr="001B2D97" w:rsidRDefault="00E508B7" w:rsidP="00E508B7">
      <w:pPr>
        <w:rPr>
          <w:lang w:val="el-GR"/>
        </w:rPr>
      </w:pPr>
      <w:r w:rsidRPr="001B2D97">
        <w:rPr>
          <w:lang w:val="el-GR"/>
        </w:rPr>
        <w:t>Εκπρόσωπος της ΕΚΤ αρνήθηκε να σχολιάσει.</w:t>
      </w:r>
    </w:p>
    <w:p w14:paraId="1878C75B" w14:textId="77777777" w:rsidR="00E508B7" w:rsidRPr="001B2D97" w:rsidRDefault="00E508B7" w:rsidP="00E508B7">
      <w:pPr>
        <w:rPr>
          <w:lang w:val="el-GR"/>
        </w:rPr>
      </w:pPr>
      <w:r w:rsidRPr="001B2D97">
        <w:rPr>
          <w:lang w:val="el-GR"/>
        </w:rPr>
        <w:lastRenderedPageBreak/>
        <w:t xml:space="preserve">Το αίτημα αποτελεί μέρος μιας προσπάθειας της ΕΚΤ να κατανοήσει ποιος φέρει τελικά τον κίνδυνο των μέσων. Οι τράπεζες έχουν πενταπλασιάσει τη χρήση των </w:t>
      </w:r>
      <w:proofErr w:type="spellStart"/>
      <w:r w:rsidRPr="009D47DE">
        <w:t>SRT</w:t>
      </w:r>
      <w:proofErr w:type="spellEnd"/>
      <w:r w:rsidRPr="001B2D97">
        <w:rPr>
          <w:lang w:val="el-GR"/>
        </w:rPr>
        <w:t xml:space="preserve"> από το 2016 για να αποκτήσουν καλύτερη ρυθμιστική μεταχείριση με την εκφόρτωση των δανειακών κινδύνων. </w:t>
      </w:r>
    </w:p>
    <w:p w14:paraId="6C849C96" w14:textId="77777777" w:rsidR="00E508B7" w:rsidRPr="001B2D97" w:rsidRDefault="00E508B7" w:rsidP="00E508B7">
      <w:pPr>
        <w:rPr>
          <w:lang w:val="el-GR"/>
        </w:rPr>
      </w:pPr>
      <w:r w:rsidRPr="001B2D97">
        <w:rPr>
          <w:lang w:val="el-GR"/>
        </w:rPr>
        <w:t xml:space="preserve">Διαβάστε περισσότερα: </w:t>
      </w:r>
      <w:r>
        <w:fldChar w:fldCharType="begin"/>
      </w:r>
      <w:r>
        <w:instrText>HYPERLINK</w:instrText>
      </w:r>
      <w:r w:rsidRPr="001B2D97">
        <w:rPr>
          <w:lang w:val="el-GR"/>
        </w:rPr>
        <w:instrText xml:space="preserve"> "</w:instrText>
      </w:r>
      <w:r>
        <w:instrText>https</w:instrText>
      </w:r>
      <w:r w:rsidRPr="001B2D97">
        <w:rPr>
          <w:lang w:val="el-GR"/>
        </w:rPr>
        <w:instrText>://</w:instrText>
      </w:r>
      <w:r>
        <w:instrText>www</w:instrText>
      </w:r>
      <w:r w:rsidRPr="001B2D97">
        <w:rPr>
          <w:lang w:val="el-GR"/>
        </w:rPr>
        <w:instrText>.</w:instrText>
      </w:r>
      <w:r>
        <w:instrText>bloomberg</w:instrText>
      </w:r>
      <w:r w:rsidRPr="001B2D97">
        <w:rPr>
          <w:lang w:val="el-GR"/>
        </w:rPr>
        <w:instrText>.</w:instrText>
      </w:r>
      <w:r>
        <w:instrText>com</w:instrText>
      </w:r>
      <w:r w:rsidRPr="001B2D97">
        <w:rPr>
          <w:lang w:val="el-GR"/>
        </w:rPr>
        <w:instrText>/</w:instrText>
      </w:r>
      <w:r>
        <w:instrText>news</w:instrText>
      </w:r>
      <w:r w:rsidRPr="001B2D97">
        <w:rPr>
          <w:lang w:val="el-GR"/>
        </w:rPr>
        <w:instrText>/</w:instrText>
      </w:r>
      <w:r>
        <w:instrText>terminal</w:instrText>
      </w:r>
      <w:r w:rsidRPr="001B2D97">
        <w:rPr>
          <w:lang w:val="el-GR"/>
        </w:rPr>
        <w:instrText>/</w:instrText>
      </w:r>
      <w:r>
        <w:instrText>T</w:instrText>
      </w:r>
      <w:r w:rsidRPr="001B2D97">
        <w:rPr>
          <w:lang w:val="el-GR"/>
        </w:rPr>
        <w:instrText>5</w:instrText>
      </w:r>
      <w:r>
        <w:instrText>MD</w:instrText>
      </w:r>
      <w:r w:rsidRPr="001B2D97">
        <w:rPr>
          <w:lang w:val="el-GR"/>
        </w:rPr>
        <w:instrText>2</w:instrText>
      </w:r>
      <w:r>
        <w:instrText>NKJH</w:instrText>
      </w:r>
      <w:r w:rsidRPr="001B2D97">
        <w:rPr>
          <w:lang w:val="el-GR"/>
        </w:rPr>
        <w:instrText>6</w:instrText>
      </w:r>
      <w:r>
        <w:instrText>V</w:instrText>
      </w:r>
      <w:r w:rsidRPr="001B2D97">
        <w:rPr>
          <w:lang w:val="el-GR"/>
        </w:rPr>
        <w:instrText>8" \</w:instrText>
      </w:r>
      <w:r>
        <w:instrText>t</w:instrText>
      </w:r>
      <w:r w:rsidRPr="001B2D97">
        <w:rPr>
          <w:lang w:val="el-GR"/>
        </w:rPr>
        <w:instrText xml:space="preserve"> "_</w:instrText>
      </w:r>
      <w:r>
        <w:instrText>blank</w:instrText>
      </w:r>
      <w:r w:rsidRPr="001B2D97">
        <w:rPr>
          <w:lang w:val="el-GR"/>
        </w:rPr>
        <w:instrText>"</w:instrText>
      </w:r>
      <w:r>
        <w:fldChar w:fldCharType="separate"/>
      </w:r>
      <w:r w:rsidRPr="001B2D97">
        <w:rPr>
          <w:rStyle w:val="Hyperlink"/>
          <w:lang w:val="el-GR"/>
        </w:rPr>
        <w:t xml:space="preserve">Η ΕΚΤ προειδοποιεί για τα συνθετικά </w:t>
      </w:r>
      <w:proofErr w:type="spellStart"/>
      <w:r w:rsidRPr="009D47DE">
        <w:rPr>
          <w:rStyle w:val="Hyperlink"/>
        </w:rPr>
        <w:t>SRT</w:t>
      </w:r>
      <w:proofErr w:type="spellEnd"/>
      <w:r w:rsidRPr="001B2D97">
        <w:rPr>
          <w:rStyle w:val="Hyperlink"/>
          <w:lang w:val="el-GR"/>
        </w:rPr>
        <w:t xml:space="preserve"> καθώς η Ευρώπη ενισχύει την τιτλοποίηση </w:t>
      </w:r>
      <w:r>
        <w:fldChar w:fldCharType="end"/>
      </w:r>
    </w:p>
    <w:p w14:paraId="36781EFA" w14:textId="77777777" w:rsidR="00E508B7" w:rsidRPr="001B2D97" w:rsidRDefault="00E508B7" w:rsidP="00E508B7">
      <w:pPr>
        <w:rPr>
          <w:lang w:val="el-GR"/>
        </w:rPr>
      </w:pPr>
      <w:r w:rsidRPr="001B2D97">
        <w:rPr>
          <w:lang w:val="el-GR"/>
        </w:rPr>
        <w:t xml:space="preserve">Οι ρυθμιστικές αρχές έχουν επισημάνει ανησυχίες σχετικά με </w:t>
      </w:r>
      <w:r>
        <w:fldChar w:fldCharType="begin"/>
      </w:r>
      <w:r>
        <w:instrText>HYPERLINK</w:instrText>
      </w:r>
      <w:r w:rsidRPr="001B2D97">
        <w:rPr>
          <w:lang w:val="el-GR"/>
        </w:rPr>
        <w:instrText xml:space="preserve"> "</w:instrText>
      </w:r>
      <w:r>
        <w:instrText>https</w:instrText>
      </w:r>
      <w:r w:rsidRPr="001B2D97">
        <w:rPr>
          <w:lang w:val="el-GR"/>
        </w:rPr>
        <w:instrText>://</w:instrText>
      </w:r>
      <w:r>
        <w:instrText>www</w:instrText>
      </w:r>
      <w:r w:rsidRPr="001B2D97">
        <w:rPr>
          <w:lang w:val="el-GR"/>
        </w:rPr>
        <w:instrText>.</w:instrText>
      </w:r>
      <w:r>
        <w:instrText>bloomberg</w:instrText>
      </w:r>
      <w:r w:rsidRPr="001B2D97">
        <w:rPr>
          <w:lang w:val="el-GR"/>
        </w:rPr>
        <w:instrText>.</w:instrText>
      </w:r>
      <w:r>
        <w:instrText>com</w:instrText>
      </w:r>
      <w:r w:rsidRPr="001B2D97">
        <w:rPr>
          <w:lang w:val="el-GR"/>
        </w:rPr>
        <w:instrText>/</w:instrText>
      </w:r>
      <w:r>
        <w:instrText>news</w:instrText>
      </w:r>
      <w:r w:rsidRPr="001B2D97">
        <w:rPr>
          <w:lang w:val="el-GR"/>
        </w:rPr>
        <w:instrText>/</w:instrText>
      </w:r>
      <w:r>
        <w:instrText>articles</w:instrText>
      </w:r>
      <w:r w:rsidRPr="001B2D97">
        <w:rPr>
          <w:lang w:val="el-GR"/>
        </w:rPr>
        <w:instrText>/2025-10-06/</w:instrText>
      </w:r>
      <w:r>
        <w:instrText>srt</w:instrText>
      </w:r>
      <w:r w:rsidRPr="001B2D97">
        <w:rPr>
          <w:lang w:val="el-GR"/>
        </w:rPr>
        <w:instrText>-</w:instrText>
      </w:r>
      <w:r>
        <w:instrText>market</w:instrText>
      </w:r>
      <w:r w:rsidRPr="001B2D97">
        <w:rPr>
          <w:lang w:val="el-GR"/>
        </w:rPr>
        <w:instrText>-</w:instrText>
      </w:r>
      <w:r>
        <w:instrText>is</w:instrText>
      </w:r>
      <w:r w:rsidRPr="001B2D97">
        <w:rPr>
          <w:lang w:val="el-GR"/>
        </w:rPr>
        <w:instrText>-</w:instrText>
      </w:r>
      <w:r>
        <w:instrText>riddled</w:instrText>
      </w:r>
      <w:r w:rsidRPr="001B2D97">
        <w:rPr>
          <w:lang w:val="el-GR"/>
        </w:rPr>
        <w:instrText>-</w:instrText>
      </w:r>
      <w:r>
        <w:instrText>with</w:instrText>
      </w:r>
      <w:r w:rsidRPr="001B2D97">
        <w:rPr>
          <w:lang w:val="el-GR"/>
        </w:rPr>
        <w:instrText>-</w:instrText>
      </w:r>
      <w:r>
        <w:instrText>gaps</w:instrText>
      </w:r>
      <w:r w:rsidRPr="001B2D97">
        <w:rPr>
          <w:lang w:val="el-GR"/>
        </w:rPr>
        <w:instrText>-</w:instrText>
      </w:r>
      <w:r>
        <w:instrText>in</w:instrText>
      </w:r>
      <w:r w:rsidRPr="001B2D97">
        <w:rPr>
          <w:lang w:val="el-GR"/>
        </w:rPr>
        <w:instrText>-</w:instrText>
      </w:r>
      <w:r>
        <w:instrText>disclosure</w:instrText>
      </w:r>
      <w:r w:rsidRPr="001B2D97">
        <w:rPr>
          <w:lang w:val="el-GR"/>
        </w:rPr>
        <w:instrText>-</w:instrText>
      </w:r>
      <w:r>
        <w:instrText>imf</w:instrText>
      </w:r>
      <w:r w:rsidRPr="001B2D97">
        <w:rPr>
          <w:lang w:val="el-GR"/>
        </w:rPr>
        <w:instrText>-</w:instrText>
      </w:r>
      <w:r>
        <w:instrText>officials</w:instrText>
      </w:r>
      <w:r w:rsidRPr="001B2D97">
        <w:rPr>
          <w:lang w:val="el-GR"/>
        </w:rPr>
        <w:instrText>-</w:instrText>
      </w:r>
      <w:r>
        <w:instrText>say</w:instrText>
      </w:r>
      <w:r w:rsidRPr="001B2D97">
        <w:rPr>
          <w:lang w:val="el-GR"/>
        </w:rPr>
        <w:instrText>" \</w:instrText>
      </w:r>
      <w:r>
        <w:instrText>t</w:instrText>
      </w:r>
      <w:r w:rsidRPr="001B2D97">
        <w:rPr>
          <w:lang w:val="el-GR"/>
        </w:rPr>
        <w:instrText xml:space="preserve"> "_</w:instrText>
      </w:r>
      <w:r>
        <w:instrText>blank</w:instrText>
      </w:r>
      <w:r w:rsidRPr="001B2D97">
        <w:rPr>
          <w:lang w:val="el-GR"/>
        </w:rPr>
        <w:instrText>"</w:instrText>
      </w:r>
      <w:r>
        <w:fldChar w:fldCharType="separate"/>
      </w:r>
      <w:r w:rsidRPr="001B2D97">
        <w:rPr>
          <w:rStyle w:val="Hyperlink"/>
          <w:lang w:val="el-GR"/>
        </w:rPr>
        <w:t xml:space="preserve">την κυκλικότητα </w:t>
      </w:r>
      <w:proofErr w:type="spellStart"/>
      <w:r w:rsidRPr="009D47DE">
        <w:rPr>
          <w:rStyle w:val="Hyperlink"/>
        </w:rPr>
        <w:t>SRT</w:t>
      </w:r>
      <w:proofErr w:type="spellEnd"/>
      <w:r>
        <w:fldChar w:fldCharType="end"/>
      </w:r>
      <w:r w:rsidRPr="001B2D97">
        <w:rPr>
          <w:lang w:val="el-GR"/>
        </w:rPr>
        <w:t xml:space="preserve"> στην οποία οι τράπεζες ενεργούν τόσο ως δανειολήπτες όσο και ως δανειστές, αυξάνοντας ενδεχομένως τη συστημική μόχλευση.</w:t>
      </w:r>
    </w:p>
    <w:p w14:paraId="394939A8" w14:textId="77777777" w:rsidR="00E508B7" w:rsidRPr="001B2D97" w:rsidRDefault="00E508B7" w:rsidP="00E508B7">
      <w:pPr>
        <w:rPr>
          <w:lang w:val="el-GR"/>
        </w:rPr>
      </w:pPr>
      <w:r w:rsidRPr="001B2D97">
        <w:rPr>
          <w:lang w:val="el-GR"/>
        </w:rPr>
        <w:t xml:space="preserve">Η Τράπεζα Διεθνών Διακανονισμών ανέφερε σε έγγραφο </w:t>
      </w:r>
      <w:r>
        <w:fldChar w:fldCharType="begin"/>
      </w:r>
      <w:r>
        <w:instrText>HYPERLINK</w:instrText>
      </w:r>
      <w:r w:rsidRPr="001B2D97">
        <w:rPr>
          <w:lang w:val="el-GR"/>
        </w:rPr>
        <w:instrText xml:space="preserve"> "</w:instrText>
      </w:r>
      <w:r>
        <w:instrText>https</w:instrText>
      </w:r>
      <w:r w:rsidRPr="001B2D97">
        <w:rPr>
          <w:lang w:val="el-GR"/>
        </w:rPr>
        <w:instrText>://</w:instrText>
      </w:r>
      <w:r>
        <w:instrText>www</w:instrText>
      </w:r>
      <w:r w:rsidRPr="001B2D97">
        <w:rPr>
          <w:lang w:val="el-GR"/>
        </w:rPr>
        <w:instrText>.</w:instrText>
      </w:r>
      <w:r>
        <w:instrText>bloomberg</w:instrText>
      </w:r>
      <w:r w:rsidRPr="001B2D97">
        <w:rPr>
          <w:lang w:val="el-GR"/>
        </w:rPr>
        <w:instrText>.</w:instrText>
      </w:r>
      <w:r>
        <w:instrText>com</w:instrText>
      </w:r>
      <w:r w:rsidRPr="001B2D97">
        <w:rPr>
          <w:lang w:val="el-GR"/>
        </w:rPr>
        <w:instrText>/</w:instrText>
      </w:r>
      <w:r>
        <w:instrText>news</w:instrText>
      </w:r>
      <w:r w:rsidRPr="001B2D97">
        <w:rPr>
          <w:lang w:val="el-GR"/>
        </w:rPr>
        <w:instrText>/</w:instrText>
      </w:r>
      <w:r>
        <w:instrText>articles</w:instrText>
      </w:r>
      <w:r w:rsidRPr="001B2D97">
        <w:rPr>
          <w:lang w:val="el-GR"/>
        </w:rPr>
        <w:instrText>/2026-03-16/</w:instrText>
      </w:r>
      <w:r>
        <w:instrText>watchdogs</w:instrText>
      </w:r>
      <w:r w:rsidRPr="001B2D97">
        <w:rPr>
          <w:lang w:val="el-GR"/>
        </w:rPr>
        <w:instrText>-</w:instrText>
      </w:r>
      <w:r>
        <w:instrText>should</w:instrText>
      </w:r>
      <w:r w:rsidRPr="001B2D97">
        <w:rPr>
          <w:lang w:val="el-GR"/>
        </w:rPr>
        <w:instrText>-</w:instrText>
      </w:r>
      <w:r>
        <w:instrText>incorporate</w:instrText>
      </w:r>
      <w:r w:rsidRPr="001B2D97">
        <w:rPr>
          <w:lang w:val="el-GR"/>
        </w:rPr>
        <w:instrText>-</w:instrText>
      </w:r>
      <w:r>
        <w:instrText>srts</w:instrText>
      </w:r>
      <w:r w:rsidRPr="001B2D97">
        <w:rPr>
          <w:lang w:val="el-GR"/>
        </w:rPr>
        <w:instrText>-</w:instrText>
      </w:r>
      <w:r>
        <w:instrText>into</w:instrText>
      </w:r>
      <w:r w:rsidRPr="001B2D97">
        <w:rPr>
          <w:lang w:val="el-GR"/>
        </w:rPr>
        <w:instrText>-</w:instrText>
      </w:r>
      <w:r>
        <w:instrText>stress</w:instrText>
      </w:r>
      <w:r w:rsidRPr="001B2D97">
        <w:rPr>
          <w:lang w:val="el-GR"/>
        </w:rPr>
        <w:instrText>-</w:instrText>
      </w:r>
      <w:r>
        <w:instrText>tests</w:instrText>
      </w:r>
      <w:r w:rsidRPr="001B2D97">
        <w:rPr>
          <w:lang w:val="el-GR"/>
        </w:rPr>
        <w:instrText>-</w:instrText>
      </w:r>
      <w:r>
        <w:instrText>bis</w:instrText>
      </w:r>
      <w:r w:rsidRPr="001B2D97">
        <w:rPr>
          <w:lang w:val="el-GR"/>
        </w:rPr>
        <w:instrText>-</w:instrText>
      </w:r>
      <w:r>
        <w:instrText>says</w:instrText>
      </w:r>
      <w:r w:rsidRPr="001B2D97">
        <w:rPr>
          <w:lang w:val="el-GR"/>
        </w:rPr>
        <w:instrText>" \</w:instrText>
      </w:r>
      <w:r>
        <w:instrText>t</w:instrText>
      </w:r>
      <w:r w:rsidRPr="001B2D97">
        <w:rPr>
          <w:lang w:val="el-GR"/>
        </w:rPr>
        <w:instrText xml:space="preserve"> "_</w:instrText>
      </w:r>
      <w:r>
        <w:instrText>blank</w:instrText>
      </w:r>
      <w:r w:rsidRPr="001B2D97">
        <w:rPr>
          <w:lang w:val="el-GR"/>
        </w:rPr>
        <w:instrText>"</w:instrText>
      </w:r>
      <w:r>
        <w:fldChar w:fldCharType="separate"/>
      </w:r>
      <w:r w:rsidRPr="001B2D97">
        <w:rPr>
          <w:rStyle w:val="Hyperlink"/>
          <w:lang w:val="el-GR"/>
        </w:rPr>
        <w:t xml:space="preserve"> </w:t>
      </w:r>
      <w:r>
        <w:fldChar w:fldCharType="end"/>
      </w:r>
      <w:r w:rsidRPr="001B2D97">
        <w:rPr>
          <w:lang w:val="el-GR"/>
        </w:rPr>
        <w:t xml:space="preserve">αυτή την εβδομάδα ότι τα </w:t>
      </w:r>
      <w:proofErr w:type="spellStart"/>
      <w:r w:rsidRPr="009D47DE">
        <w:t>SRT</w:t>
      </w:r>
      <w:proofErr w:type="spellEnd"/>
      <w:r w:rsidRPr="001B2D97">
        <w:rPr>
          <w:lang w:val="el-GR"/>
        </w:rPr>
        <w:t xml:space="preserve"> μπορούν να ενισχύσουν τους κινδύνους μετάδοσης μεταξύ τραπεζών και άλλων χρηματοπιστωτικών οντοτήτων.</w:t>
      </w:r>
    </w:p>
    <w:p w14:paraId="4935BDE5" w14:textId="77777777" w:rsidR="00E508B7" w:rsidRPr="001B2D97" w:rsidRDefault="00E508B7" w:rsidP="00E508B7">
      <w:pPr>
        <w:rPr>
          <w:lang w:val="el-GR"/>
        </w:rPr>
      </w:pPr>
      <w:hyperlink r:id="rId18" w:tgtFrame="_blank" w:history="1">
        <w:r w:rsidRPr="001B2D97">
          <w:rPr>
            <w:rStyle w:val="Hyperlink"/>
            <w:lang w:val="el-GR"/>
          </w:rPr>
          <w:t>Μεταφορά Συνθετικού Κινδύνου (</w:t>
        </w:r>
        <w:proofErr w:type="spellStart"/>
        <w:r w:rsidRPr="00630C52">
          <w:rPr>
            <w:rStyle w:val="Hyperlink"/>
          </w:rPr>
          <w:t>SRT</w:t>
        </w:r>
        <w:proofErr w:type="spellEnd"/>
        <w:r w:rsidRPr="001B2D97">
          <w:rPr>
            <w:rStyle w:val="Hyperlink"/>
            <w:lang w:val="el-GR"/>
          </w:rPr>
          <w:t>)</w:t>
        </w:r>
      </w:hyperlink>
    </w:p>
    <w:p w14:paraId="2DC2C831" w14:textId="77777777" w:rsidR="00E508B7" w:rsidRPr="001B2D97" w:rsidRDefault="00E508B7" w:rsidP="00E508B7">
      <w:pPr>
        <w:rPr>
          <w:lang w:val="el-GR"/>
        </w:rPr>
      </w:pPr>
      <w:r w:rsidRPr="001B2D97">
        <w:rPr>
          <w:lang w:val="el-GR"/>
        </w:rPr>
        <w:t>είναι μια ταχέως αναπτυσσόμενη επενδυτική στρατηγική όπου οι τράπεζες μεταφέρουν πιστωτικό κίνδυνο σε χαρτοφυλάκια δανείων (εταιρικά, ΜΜΕ, ακίνητα) σε επενδυτές χρησιμοποιώντας παράγωγα όπως συμβόλαια ανταλλαγής πιστωτικής αθέτησης ή εγγυήσεις, χωρίς να πωλούν τα υποκείμενα περιουσιακά στοιχεία. Αυτό επιτρέπει στις τράπεζες να μειώσουν τις ρυθμιστικές κεφαλαιακές απαιτήσεις, ενώ οι επενδυτές —κυρίως ιδιωτικά κεφάλαια, ασφαλιστές και διαχειριστές συντάξεων— αποκτούν πρόσβαση σε υψηλής ποιότητας περιουσιακά στοιχεία τραπεζικής προέλευσης που προσφέρουν ελκυστικές αποδόσεις προσαρμοσμένες στον κίνδυνο.</w:t>
      </w:r>
    </w:p>
    <w:p w14:paraId="2486DD03" w14:textId="77777777" w:rsidR="00E508B7" w:rsidRPr="00630C52" w:rsidRDefault="00E508B7" w:rsidP="00E508B7">
      <w:r w:rsidRPr="00630C52">
        <w:rPr>
          <w:b/>
          <w:bCs/>
        </w:rPr>
        <w:t>Βα</w:t>
      </w:r>
      <w:proofErr w:type="spellStart"/>
      <w:r w:rsidRPr="00630C52">
        <w:rPr>
          <w:b/>
          <w:bCs/>
        </w:rPr>
        <w:t>σικές</w:t>
      </w:r>
      <w:proofErr w:type="spellEnd"/>
      <w:r w:rsidRPr="00630C52">
        <w:rPr>
          <w:b/>
          <w:bCs/>
        </w:rPr>
        <w:t xml:space="preserve"> π</w:t>
      </w:r>
      <w:proofErr w:type="spellStart"/>
      <w:r w:rsidRPr="00630C52">
        <w:rPr>
          <w:b/>
          <w:bCs/>
        </w:rPr>
        <w:t>τυχές</w:t>
      </w:r>
      <w:proofErr w:type="spellEnd"/>
      <w:r w:rsidRPr="00630C52">
        <w:rPr>
          <w:b/>
          <w:bCs/>
        </w:rPr>
        <w:t xml:space="preserve"> </w:t>
      </w:r>
      <w:proofErr w:type="spellStart"/>
      <w:r w:rsidRPr="00630C52">
        <w:rPr>
          <w:b/>
          <w:bCs/>
        </w:rPr>
        <w:t>των</w:t>
      </w:r>
      <w:proofErr w:type="spellEnd"/>
      <w:r w:rsidRPr="00630C52">
        <w:rPr>
          <w:b/>
          <w:bCs/>
        </w:rPr>
        <w:t xml:space="preserve"> επ</w:t>
      </w:r>
      <w:proofErr w:type="spellStart"/>
      <w:r w:rsidRPr="00630C52">
        <w:rPr>
          <w:b/>
          <w:bCs/>
        </w:rPr>
        <w:t>ενδύσεων</w:t>
      </w:r>
      <w:proofErr w:type="spellEnd"/>
      <w:r w:rsidRPr="00630C52">
        <w:rPr>
          <w:b/>
          <w:bCs/>
        </w:rPr>
        <w:t xml:space="preserve"> </w:t>
      </w:r>
      <w:proofErr w:type="spellStart"/>
      <w:r w:rsidRPr="00630C52">
        <w:rPr>
          <w:b/>
          <w:bCs/>
        </w:rPr>
        <w:t>SRT</w:t>
      </w:r>
      <w:proofErr w:type="spellEnd"/>
    </w:p>
    <w:p w14:paraId="64D9946E" w14:textId="77777777" w:rsidR="00E508B7" w:rsidRPr="001B2D97" w:rsidRDefault="00E508B7" w:rsidP="00E508B7">
      <w:pPr>
        <w:numPr>
          <w:ilvl w:val="0"/>
          <w:numId w:val="1"/>
        </w:numPr>
        <w:rPr>
          <w:lang w:val="el-GR"/>
        </w:rPr>
      </w:pPr>
      <w:r w:rsidRPr="001B2D97">
        <w:rPr>
          <w:b/>
          <w:bCs/>
          <w:lang w:val="el-GR"/>
        </w:rPr>
        <w:t>Μηχανισμός:</w:t>
      </w:r>
      <w:r w:rsidRPr="001B2D97">
        <w:rPr>
          <w:lang w:val="el-GR"/>
        </w:rPr>
        <w:t xml:space="preserve"> Αντί να πωλούν δάνεια, οι τράπεζες χρησιμοποιούν «συνθετική» τιτλοποίηση. Η τράπεζα διατηρεί τα δάνεια στον ισολογισμό της, διατηρώντας πελατειακές σχέσεις, ενώ μεταφέρει τον κίνδυνο ζημιών στους επενδυτές.</w:t>
      </w:r>
    </w:p>
    <w:p w14:paraId="0A201FB9" w14:textId="77777777" w:rsidR="00E508B7" w:rsidRPr="001B2D97" w:rsidRDefault="00E508B7" w:rsidP="00E508B7">
      <w:pPr>
        <w:numPr>
          <w:ilvl w:val="0"/>
          <w:numId w:val="1"/>
        </w:numPr>
        <w:rPr>
          <w:lang w:val="el-GR"/>
        </w:rPr>
      </w:pPr>
      <w:r w:rsidRPr="001B2D97">
        <w:rPr>
          <w:b/>
          <w:bCs/>
          <w:lang w:val="el-GR"/>
        </w:rPr>
        <w:t xml:space="preserve">Έκκληση επενδυτών: Τα </w:t>
      </w:r>
      <w:proofErr w:type="spellStart"/>
      <w:r w:rsidRPr="00630C52">
        <w:t>SRT</w:t>
      </w:r>
      <w:proofErr w:type="spellEnd"/>
      <w:r w:rsidRPr="001B2D97">
        <w:rPr>
          <w:lang w:val="el-GR"/>
        </w:rPr>
        <w:t xml:space="preserve"> προσφέρουν ελκυστικές αποδόσεις προσαρμοσμένες στον κίνδυνο, μεταξύ του χρέους και των ιδίων κεφαλαίων όσον αφορά τον κίνδυνο.</w:t>
      </w:r>
    </w:p>
    <w:p w14:paraId="0D6DB4EE" w14:textId="77777777" w:rsidR="00E508B7" w:rsidRPr="001B2D97" w:rsidRDefault="00E508B7" w:rsidP="00E508B7">
      <w:pPr>
        <w:numPr>
          <w:ilvl w:val="0"/>
          <w:numId w:val="1"/>
        </w:numPr>
        <w:rPr>
          <w:lang w:val="el-GR"/>
        </w:rPr>
      </w:pPr>
      <w:r w:rsidRPr="001B2D97">
        <w:rPr>
          <w:b/>
          <w:bCs/>
          <w:lang w:val="el-GR"/>
        </w:rPr>
        <w:t>Ανάπτυξη της αγοράς: Η</w:t>
      </w:r>
      <w:r w:rsidRPr="001B2D97">
        <w:rPr>
          <w:lang w:val="el-GR"/>
        </w:rPr>
        <w:t xml:space="preserve"> αγορά αναπτύχθηκε ραγδαία, με την υποκείμενη αξία ενεργητικού να φτάνει τα 375 δισεκατομμύρια δολάρια το 2025 σε 169 συναλλαγές.</w:t>
      </w:r>
    </w:p>
    <w:p w14:paraId="44C2D531" w14:textId="77777777" w:rsidR="00E508B7" w:rsidRPr="001B2D97" w:rsidRDefault="00E508B7" w:rsidP="00E508B7">
      <w:pPr>
        <w:numPr>
          <w:ilvl w:val="0"/>
          <w:numId w:val="1"/>
        </w:numPr>
        <w:rPr>
          <w:lang w:val="el-GR"/>
        </w:rPr>
      </w:pPr>
      <w:r w:rsidRPr="001B2D97">
        <w:rPr>
          <w:b/>
          <w:bCs/>
          <w:lang w:val="el-GR"/>
        </w:rPr>
        <w:t>Ρυθμιστικοί παράγοντες:</w:t>
      </w:r>
      <w:r w:rsidRPr="001B2D97">
        <w:rPr>
          <w:lang w:val="el-GR"/>
        </w:rPr>
        <w:t xml:space="preserve"> Με </w:t>
      </w:r>
      <w:hyperlink r:id="rId19" w:tgtFrame="_blank" w:history="1">
        <w:r w:rsidRPr="001B2D97">
          <w:rPr>
            <w:rStyle w:val="Hyperlink"/>
            <w:lang w:val="el-GR"/>
          </w:rPr>
          <w:t>τους κανονισμούς της Βασιλείας 3.1</w:t>
        </w:r>
      </w:hyperlink>
      <w:r w:rsidRPr="001B2D97">
        <w:rPr>
          <w:lang w:val="el-GR"/>
        </w:rPr>
        <w:t xml:space="preserve"> να καθιστούν τα χαρτοφυλάκια έντασης κεφαλαίου, όπως τα εμπορικά ακίνητα, πιο ακριβά για τις τράπεζες, τα </w:t>
      </w:r>
      <w:proofErr w:type="spellStart"/>
      <w:r w:rsidRPr="00630C52">
        <w:t>SRT</w:t>
      </w:r>
      <w:proofErr w:type="spellEnd"/>
      <w:r w:rsidRPr="001B2D97">
        <w:rPr>
          <w:lang w:val="el-GR"/>
        </w:rPr>
        <w:t xml:space="preserve"> παρέχουν ζωτική κεφαλαιακή ανακούφιση, ιδιαίτερα καθώς οι τράπεζες των ΗΠΑ αυξάνουν τη χρήση, σύμφωνα με την </w:t>
      </w:r>
      <w:r>
        <w:fldChar w:fldCharType="begin"/>
      </w:r>
      <w:r>
        <w:instrText>HYPERLINK</w:instrText>
      </w:r>
      <w:r w:rsidRPr="001B2D97">
        <w:rPr>
          <w:lang w:val="el-GR"/>
        </w:rPr>
        <w:instrText xml:space="preserve"> "</w:instrText>
      </w:r>
      <w:r>
        <w:instrText>https</w:instrText>
      </w:r>
      <w:r w:rsidRPr="001B2D97">
        <w:rPr>
          <w:lang w:val="el-GR"/>
        </w:rPr>
        <w:instrText>://</w:instrText>
      </w:r>
      <w:r>
        <w:instrText>www</w:instrText>
      </w:r>
      <w:r w:rsidRPr="001B2D97">
        <w:rPr>
          <w:lang w:val="el-GR"/>
        </w:rPr>
        <w:instrText>.</w:instrText>
      </w:r>
      <w:r>
        <w:instrText>pag</w:instrText>
      </w:r>
      <w:r w:rsidRPr="001B2D97">
        <w:rPr>
          <w:lang w:val="el-GR"/>
        </w:rPr>
        <w:instrText>.</w:instrText>
      </w:r>
      <w:r>
        <w:instrText>com</w:instrText>
      </w:r>
      <w:r w:rsidRPr="001B2D97">
        <w:rPr>
          <w:lang w:val="el-GR"/>
        </w:rPr>
        <w:instrText>/</w:instrText>
      </w:r>
      <w:r>
        <w:instrText>en</w:instrText>
      </w:r>
      <w:r w:rsidRPr="001B2D97">
        <w:rPr>
          <w:lang w:val="el-GR"/>
        </w:rPr>
        <w:instrText>/</w:instrText>
      </w:r>
      <w:r>
        <w:instrText>interview</w:instrText>
      </w:r>
      <w:r w:rsidRPr="001B2D97">
        <w:rPr>
          <w:lang w:val="el-GR"/>
        </w:rPr>
        <w:instrText>-</w:instrText>
      </w:r>
      <w:r>
        <w:instrText>pags</w:instrText>
      </w:r>
      <w:r w:rsidRPr="001B2D97">
        <w:rPr>
          <w:lang w:val="el-GR"/>
        </w:rPr>
        <w:instrText>-</w:instrText>
      </w:r>
      <w:r>
        <w:instrText>james</w:instrText>
      </w:r>
      <w:r w:rsidRPr="001B2D97">
        <w:rPr>
          <w:lang w:val="el-GR"/>
        </w:rPr>
        <w:instrText>-</w:instrText>
      </w:r>
      <w:r>
        <w:instrText>parsons</w:instrText>
      </w:r>
      <w:r w:rsidRPr="001B2D97">
        <w:rPr>
          <w:lang w:val="el-GR"/>
        </w:rPr>
        <w:instrText>-</w:instrText>
      </w:r>
      <w:r>
        <w:instrText>on</w:instrText>
      </w:r>
      <w:r w:rsidRPr="001B2D97">
        <w:rPr>
          <w:lang w:val="el-GR"/>
        </w:rPr>
        <w:instrText>-</w:instrText>
      </w:r>
      <w:r>
        <w:instrText>significant</w:instrText>
      </w:r>
      <w:r w:rsidRPr="001B2D97">
        <w:rPr>
          <w:lang w:val="el-GR"/>
        </w:rPr>
        <w:instrText>-</w:instrText>
      </w:r>
      <w:r>
        <w:instrText>risk</w:instrText>
      </w:r>
      <w:r w:rsidRPr="001B2D97">
        <w:rPr>
          <w:lang w:val="el-GR"/>
        </w:rPr>
        <w:instrText>-</w:instrText>
      </w:r>
      <w:r>
        <w:instrText>transfer</w:instrText>
      </w:r>
      <w:r w:rsidRPr="001B2D97">
        <w:rPr>
          <w:lang w:val="el-GR"/>
        </w:rPr>
        <w:instrText>-</w:instrText>
      </w:r>
      <w:r>
        <w:instrText>stepping</w:instrText>
      </w:r>
      <w:r w:rsidRPr="001B2D97">
        <w:rPr>
          <w:lang w:val="el-GR"/>
        </w:rPr>
        <w:instrText>-</w:instrText>
      </w:r>
      <w:r>
        <w:instrText>into</w:instrText>
      </w:r>
      <w:r w:rsidRPr="001B2D97">
        <w:rPr>
          <w:lang w:val="el-GR"/>
        </w:rPr>
        <w:instrText>-</w:instrText>
      </w:r>
      <w:r>
        <w:instrText>the</w:instrText>
      </w:r>
      <w:r w:rsidRPr="001B2D97">
        <w:rPr>
          <w:lang w:val="el-GR"/>
        </w:rPr>
        <w:instrText>-</w:instrText>
      </w:r>
      <w:r>
        <w:instrText>spotlight</w:instrText>
      </w:r>
      <w:r w:rsidRPr="001B2D97">
        <w:rPr>
          <w:lang w:val="el-GR"/>
        </w:rPr>
        <w:instrText>" \</w:instrText>
      </w:r>
      <w:r>
        <w:instrText>t</w:instrText>
      </w:r>
      <w:r w:rsidRPr="001B2D97">
        <w:rPr>
          <w:lang w:val="el-GR"/>
        </w:rPr>
        <w:instrText xml:space="preserve"> "_</w:instrText>
      </w:r>
      <w:r>
        <w:instrText>blank</w:instrText>
      </w:r>
      <w:r w:rsidRPr="001B2D97">
        <w:rPr>
          <w:lang w:val="el-GR"/>
        </w:rPr>
        <w:instrText>"</w:instrText>
      </w:r>
      <w:r>
        <w:fldChar w:fldCharType="separate"/>
      </w:r>
      <w:r w:rsidRPr="00630C52">
        <w:rPr>
          <w:rStyle w:val="Hyperlink"/>
        </w:rPr>
        <w:t>PAG</w:t>
      </w:r>
      <w:r>
        <w:fldChar w:fldCharType="end"/>
      </w:r>
      <w:r w:rsidRPr="001B2D97">
        <w:rPr>
          <w:lang w:val="el-GR"/>
        </w:rPr>
        <w:t>.</w:t>
      </w:r>
    </w:p>
    <w:p w14:paraId="0179A4A0" w14:textId="77777777" w:rsidR="00E508B7" w:rsidRPr="001B2D97" w:rsidRDefault="00E508B7" w:rsidP="00E508B7">
      <w:pPr>
        <w:numPr>
          <w:ilvl w:val="0"/>
          <w:numId w:val="1"/>
        </w:numPr>
        <w:rPr>
          <w:lang w:val="el-GR"/>
        </w:rPr>
      </w:pPr>
      <w:r w:rsidRPr="001B2D97">
        <w:rPr>
          <w:b/>
          <w:bCs/>
          <w:lang w:val="el-GR"/>
        </w:rPr>
        <w:lastRenderedPageBreak/>
        <w:t>Κίνδυνοι &amp; Μόχλευση: Ενώ</w:t>
      </w:r>
      <w:r w:rsidRPr="001B2D97">
        <w:rPr>
          <w:lang w:val="el-GR"/>
        </w:rPr>
        <w:t xml:space="preserve"> τα </w:t>
      </w:r>
      <w:proofErr w:type="spellStart"/>
      <w:r w:rsidRPr="00630C52">
        <w:t>SRT</w:t>
      </w:r>
      <w:proofErr w:type="spellEnd"/>
      <w:r w:rsidRPr="001B2D97">
        <w:rPr>
          <w:lang w:val="el-GR"/>
        </w:rPr>
        <w:t xml:space="preserve"> παρέχουν διαφοροποίηση, ενέχουν κινδύνους όπως πιστωτικές αθετήσεις εντός του χαρτοφυλακίου δανείων. Οι επενδυτές μπορεί να χρησιμοποιήσουν μόχλευση για να αυξήσουν τα κέρδη, κάτι που μπορεί να ενισχύσει τόσο τα κέρδη όσο και τις απώλειες, σημειώνει έκθεση </w:t>
      </w:r>
      <w:r>
        <w:fldChar w:fldCharType="begin"/>
      </w:r>
      <w:r>
        <w:instrText>HYPERLINK</w:instrText>
      </w:r>
      <w:r w:rsidRPr="001B2D97">
        <w:rPr>
          <w:lang w:val="el-GR"/>
        </w:rPr>
        <w:instrText xml:space="preserve"> "</w:instrText>
      </w:r>
      <w:r>
        <w:instrText>https</w:instrText>
      </w:r>
      <w:r w:rsidRPr="001B2D97">
        <w:rPr>
          <w:lang w:val="el-GR"/>
        </w:rPr>
        <w:instrText>://</w:instrText>
      </w:r>
      <w:r>
        <w:instrText>www</w:instrText>
      </w:r>
      <w:r w:rsidRPr="001B2D97">
        <w:rPr>
          <w:lang w:val="el-GR"/>
        </w:rPr>
        <w:instrText>.</w:instrText>
      </w:r>
      <w:r>
        <w:instrText>bis</w:instrText>
      </w:r>
      <w:r w:rsidRPr="001B2D97">
        <w:rPr>
          <w:lang w:val="el-GR"/>
        </w:rPr>
        <w:instrText>.</w:instrText>
      </w:r>
      <w:r>
        <w:instrText>org</w:instrText>
      </w:r>
      <w:r w:rsidRPr="001B2D97">
        <w:rPr>
          <w:lang w:val="el-GR"/>
        </w:rPr>
        <w:instrText>/</w:instrText>
      </w:r>
      <w:r>
        <w:instrText>publ</w:instrText>
      </w:r>
      <w:r w:rsidRPr="001B2D97">
        <w:rPr>
          <w:lang w:val="el-GR"/>
        </w:rPr>
        <w:instrText>/</w:instrText>
      </w:r>
      <w:r>
        <w:instrText>qtrpdf</w:instrText>
      </w:r>
      <w:r w:rsidRPr="001B2D97">
        <w:rPr>
          <w:lang w:val="el-GR"/>
        </w:rPr>
        <w:instrText>/</w:instrText>
      </w:r>
      <w:r>
        <w:instrText>r</w:instrText>
      </w:r>
      <w:r w:rsidRPr="001B2D97">
        <w:rPr>
          <w:lang w:val="el-GR"/>
        </w:rPr>
        <w:instrText>_</w:instrText>
      </w:r>
      <w:r>
        <w:instrText>qt</w:instrText>
      </w:r>
      <w:r w:rsidRPr="001B2D97">
        <w:rPr>
          <w:lang w:val="el-GR"/>
        </w:rPr>
        <w:instrText>2603</w:instrText>
      </w:r>
      <w:r>
        <w:instrText>c</w:instrText>
      </w:r>
      <w:r w:rsidRPr="001B2D97">
        <w:rPr>
          <w:lang w:val="el-GR"/>
        </w:rPr>
        <w:instrText>.</w:instrText>
      </w:r>
      <w:r>
        <w:instrText>htm</w:instrText>
      </w:r>
      <w:r w:rsidRPr="001B2D97">
        <w:rPr>
          <w:lang w:val="el-GR"/>
        </w:rPr>
        <w:instrText>" \</w:instrText>
      </w:r>
      <w:r>
        <w:instrText>t</w:instrText>
      </w:r>
      <w:r w:rsidRPr="001B2D97">
        <w:rPr>
          <w:lang w:val="el-GR"/>
        </w:rPr>
        <w:instrText xml:space="preserve"> "_</w:instrText>
      </w:r>
      <w:r>
        <w:instrText>blank</w:instrText>
      </w:r>
      <w:r w:rsidRPr="001B2D97">
        <w:rPr>
          <w:lang w:val="el-GR"/>
        </w:rPr>
        <w:instrText>"</w:instrText>
      </w:r>
      <w:r>
        <w:fldChar w:fldCharType="separate"/>
      </w:r>
      <w:r w:rsidRPr="001B2D97">
        <w:rPr>
          <w:rStyle w:val="Hyperlink"/>
          <w:lang w:val="el-GR"/>
        </w:rPr>
        <w:t>της Τράπεζας Διεθνών Διακανονισμών</w:t>
      </w:r>
      <w:r>
        <w:fldChar w:fldCharType="end"/>
      </w:r>
      <w:r w:rsidRPr="001B2D97">
        <w:rPr>
          <w:lang w:val="el-GR"/>
        </w:rPr>
        <w:t xml:space="preserve">. </w:t>
      </w:r>
    </w:p>
    <w:p w14:paraId="32AD5037" w14:textId="77777777" w:rsidR="00E508B7" w:rsidRPr="001B2D97" w:rsidRDefault="00E508B7" w:rsidP="00E508B7">
      <w:pPr>
        <w:ind w:left="720"/>
        <w:rPr>
          <w:lang w:val="el-GR"/>
        </w:rPr>
      </w:pPr>
      <w:r w:rsidRPr="001B2D97">
        <w:rPr>
          <w:lang w:val="el-GR"/>
        </w:rPr>
        <w:t xml:space="preserve">1.2 Δομές </w:t>
      </w:r>
      <w:proofErr w:type="spellStart"/>
      <w:r>
        <w:t>SRT</w:t>
      </w:r>
      <w:proofErr w:type="spellEnd"/>
    </w:p>
    <w:p w14:paraId="3DEB0966" w14:textId="77777777" w:rsidR="00E508B7" w:rsidRPr="001B2D97" w:rsidRDefault="00E508B7" w:rsidP="00E508B7">
      <w:pPr>
        <w:ind w:left="720"/>
        <w:rPr>
          <w:lang w:val="el-GR"/>
        </w:rPr>
      </w:pPr>
      <w:r w:rsidRPr="001B2D97">
        <w:rPr>
          <w:lang w:val="el-GR"/>
        </w:rPr>
        <w:t xml:space="preserve">Οι μεταφορές συνθετικού κινδύνου μπορούν να λάβουν διάφορες μορφές. Σε ορισμένες περιπτώσεις, η τράπεζα μπορεί να επικοινωνήσει απευθείας με τον πάροχο προστασίας. Παραδείγματα αυτού περιλαμβάνουν </w:t>
      </w:r>
      <w:proofErr w:type="spellStart"/>
      <w:r>
        <w:t>SRT</w:t>
      </w:r>
      <w:proofErr w:type="spellEnd"/>
      <w:r w:rsidRPr="001B2D97">
        <w:rPr>
          <w:lang w:val="el-GR"/>
        </w:rPr>
        <w:t xml:space="preserve"> με τη μορφή απευθείας εκδοθέντων ομολόγων συνδεδεμένων με τον πιστωτικό κίνδυνο (</w:t>
      </w:r>
      <w:proofErr w:type="spellStart"/>
      <w:r>
        <w:t>CLN</w:t>
      </w:r>
      <w:proofErr w:type="spellEnd"/>
      <w:r w:rsidRPr="001B2D97">
        <w:rPr>
          <w:lang w:val="el-GR"/>
        </w:rPr>
        <w:t xml:space="preserve">) που πωλεί η τράπεζα σε επενδυτές ή διμερών παραγώγων (π.χ. σύμβαση αντιστάθμισης πιστωτικού κινδύνου) ή εγγυήσεων με πάροχο προστασίας. Σε άλλες περιπτώσεις, μια </w:t>
      </w:r>
      <w:r>
        <w:t>SPE</w:t>
      </w:r>
      <w:r w:rsidRPr="001B2D97">
        <w:rPr>
          <w:lang w:val="el-GR"/>
        </w:rPr>
        <w:t xml:space="preserve"> μπορεί να εκδίδει </w:t>
      </w:r>
      <w:proofErr w:type="spellStart"/>
      <w:r>
        <w:t>CLN</w:t>
      </w:r>
      <w:proofErr w:type="spellEnd"/>
      <w:r w:rsidRPr="001B2D97">
        <w:rPr>
          <w:lang w:val="el-GR"/>
        </w:rPr>
        <w:t xml:space="preserve"> στους επενδυτές με τα έσοδα να χρησιμοποιούνται για την παροχή προστασίας στην τράπεζα μέσω παραγώγου ή εγγύησης. Ενώ καθεμία από αυτές τις δομές μπορεί να οδηγήσει σε πανομοιότυπη κεφαλαιακή ελάφρυνση, οι τράπεζες μπορεί να προτιμούν τη μία δομή έναντι της άλλης με βάση το σχετικό χρηματοοικονομικό ή λειτουργικό κόστος, δεδομένης της φύσης του χαρτοφυλακίου, του βάθους της επενδυτικής βάσης ή άλλων παραγόντων. Για παράδειγμα, μπορεί να είναι ευκολότερο για μια τράπεζα να δομήσει ένα </w:t>
      </w:r>
      <w:proofErr w:type="spellStart"/>
      <w:r>
        <w:t>SRT</w:t>
      </w:r>
      <w:proofErr w:type="spellEnd"/>
      <w:r w:rsidRPr="001B2D97">
        <w:rPr>
          <w:lang w:val="el-GR"/>
        </w:rPr>
        <w:t xml:space="preserve"> για ένα πιο σύνθετο χαρτοφυλάκιο ως παράγωγο με έναν μόνο εξελιγμένο αντισυμβαλλόμενο, ενώ ένα λιγότερο περίπλοκο χαρτοφυλάκιο μπορεί να είναι ευκολότερο να συσκευαστεί ως </w:t>
      </w:r>
      <w:proofErr w:type="spellStart"/>
      <w:r>
        <w:t>CLN</w:t>
      </w:r>
      <w:proofErr w:type="spellEnd"/>
      <w:r w:rsidRPr="001B2D97">
        <w:rPr>
          <w:lang w:val="el-GR"/>
        </w:rPr>
        <w:t xml:space="preserve"> για μια ευρύτερη βάση επενδυτών.</w:t>
      </w:r>
    </w:p>
    <w:p w14:paraId="7CD474F7" w14:textId="77777777" w:rsidR="00E508B7" w:rsidRPr="00630C52" w:rsidRDefault="00E508B7" w:rsidP="00E508B7">
      <w:pPr>
        <w:ind w:left="720"/>
      </w:pPr>
      <w:r w:rsidRPr="00406554">
        <w:rPr>
          <w:noProof/>
        </w:rPr>
        <w:drawing>
          <wp:inline distT="0" distB="0" distL="0" distR="0" wp14:anchorId="7540E3EA" wp14:editId="55748F8D">
            <wp:extent cx="5943600" cy="2642235"/>
            <wp:effectExtent l="0" t="0" r="0" b="5715"/>
            <wp:docPr id="1005589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477979" name=""/>
                    <pic:cNvPicPr/>
                  </pic:nvPicPr>
                  <pic:blipFill>
                    <a:blip r:embed="rId15"/>
                    <a:stretch>
                      <a:fillRect/>
                    </a:stretch>
                  </pic:blipFill>
                  <pic:spPr>
                    <a:xfrm>
                      <a:off x="0" y="0"/>
                      <a:ext cx="5943600" cy="2642235"/>
                    </a:xfrm>
                    <a:prstGeom prst="rect">
                      <a:avLst/>
                    </a:prstGeom>
                  </pic:spPr>
                </pic:pic>
              </a:graphicData>
            </a:graphic>
          </wp:inline>
        </w:drawing>
      </w:r>
    </w:p>
    <w:p w14:paraId="7D982741" w14:textId="77777777" w:rsidR="00E508B7" w:rsidRPr="00630C52" w:rsidRDefault="00E508B7" w:rsidP="00E508B7">
      <w:pPr>
        <w:rPr>
          <w:lang w:val="el-GR"/>
        </w:rPr>
      </w:pPr>
      <w:r w:rsidRPr="00630C52">
        <w:rPr>
          <w:b/>
          <w:bCs/>
        </w:rPr>
        <w:t xml:space="preserve">Difference Between </w:t>
      </w:r>
      <w:proofErr w:type="spellStart"/>
      <w:r w:rsidRPr="00630C52">
        <w:rPr>
          <w:b/>
          <w:bCs/>
        </w:rPr>
        <w:t>SRT</w:t>
      </w:r>
      <w:proofErr w:type="spellEnd"/>
      <w:r w:rsidRPr="00630C52">
        <w:rPr>
          <w:b/>
          <w:bCs/>
        </w:rPr>
        <w:t xml:space="preserve"> and CLOs</w:t>
      </w:r>
      <w:r w:rsidRPr="00630C52">
        <w:br/>
        <w:t xml:space="preserve">While both involve credit, </w:t>
      </w:r>
      <w:hyperlink r:id="rId20" w:tgtFrame="_blank" w:history="1">
        <w:proofErr w:type="spellStart"/>
        <w:r w:rsidRPr="00630C52">
          <w:rPr>
            <w:rStyle w:val="Hyperlink"/>
          </w:rPr>
          <w:t>SRTs</w:t>
        </w:r>
        <w:proofErr w:type="spellEnd"/>
      </w:hyperlink>
      <w:r w:rsidRPr="00630C52">
        <w:t xml:space="preserve"> are driven by bank regulatory capital relief and usually retain </w:t>
      </w:r>
      <w:r w:rsidRPr="00630C52">
        <w:lastRenderedPageBreak/>
        <w:t>assets on the balance sheet, whereas CLOs are investor-driven, selling the assets to a special purpose vehicle (</w:t>
      </w:r>
      <w:proofErr w:type="spellStart"/>
      <w:r w:rsidRPr="00630C52">
        <w:t>SPV</w:t>
      </w:r>
      <w:proofErr w:type="spellEnd"/>
      <w:r w:rsidRPr="00630C52">
        <w:t>). </w:t>
      </w:r>
      <w:r w:rsidRPr="001B2D97">
        <w:rPr>
          <w:lang w:val="el-GR"/>
        </w:rPr>
        <w:t xml:space="preserve">Οι </w:t>
      </w:r>
      <w:r>
        <w:fldChar w:fldCharType="begin"/>
      </w:r>
      <w:r>
        <w:instrText>HYPERLINK</w:instrText>
      </w:r>
      <w:r w:rsidRPr="001B2D97">
        <w:rPr>
          <w:lang w:val="el-GR"/>
        </w:rPr>
        <w:instrText xml:space="preserve"> "</w:instrText>
      </w:r>
      <w:r>
        <w:instrText>https</w:instrText>
      </w:r>
      <w:r w:rsidRPr="001B2D97">
        <w:rPr>
          <w:lang w:val="el-GR"/>
        </w:rPr>
        <w:instrText>://</w:instrText>
      </w:r>
      <w:r>
        <w:instrText>www</w:instrText>
      </w:r>
      <w:r w:rsidRPr="001B2D97">
        <w:rPr>
          <w:lang w:val="el-GR"/>
        </w:rPr>
        <w:instrText>.</w:instrText>
      </w:r>
      <w:r>
        <w:instrText>google</w:instrText>
      </w:r>
      <w:r w:rsidRPr="001B2D97">
        <w:rPr>
          <w:lang w:val="el-GR"/>
        </w:rPr>
        <w:instrText>.</w:instrText>
      </w:r>
      <w:r>
        <w:instrText>com</w:instrText>
      </w:r>
      <w:r w:rsidRPr="001B2D97">
        <w:rPr>
          <w:lang w:val="el-GR"/>
        </w:rPr>
        <w:instrText>/</w:instrText>
      </w:r>
      <w:r>
        <w:instrText>search</w:instrText>
      </w:r>
      <w:r w:rsidRPr="001B2D97">
        <w:rPr>
          <w:lang w:val="el-GR"/>
        </w:rPr>
        <w:instrText>?</w:instrText>
      </w:r>
      <w:r>
        <w:instrText>q</w:instrText>
      </w:r>
      <w:r w:rsidRPr="001B2D97">
        <w:rPr>
          <w:lang w:val="el-GR"/>
        </w:rPr>
        <w:instrText>=%</w:instrText>
      </w:r>
      <w:r>
        <w:instrText>CE</w:instrText>
      </w:r>
      <w:r w:rsidRPr="001B2D97">
        <w:rPr>
          <w:lang w:val="el-GR"/>
        </w:rPr>
        <w:instrText>%</w:instrText>
      </w:r>
      <w:r>
        <w:instrText>B</w:instrText>
      </w:r>
      <w:r w:rsidRPr="001B2D97">
        <w:rPr>
          <w:lang w:val="el-GR"/>
        </w:rPr>
        <w:instrText>5%</w:instrText>
      </w:r>
      <w:r>
        <w:instrText>CF</w:instrText>
      </w:r>
      <w:r w:rsidRPr="001B2D97">
        <w:rPr>
          <w:lang w:val="el-GR"/>
        </w:rPr>
        <w:instrText>%80%</w:instrText>
      </w:r>
      <w:r>
        <w:instrText>CE</w:instrText>
      </w:r>
      <w:r w:rsidRPr="001B2D97">
        <w:rPr>
          <w:lang w:val="el-GR"/>
        </w:rPr>
        <w:instrText>%</w:instrText>
      </w:r>
      <w:r>
        <w:instrText>B</w:instrText>
      </w:r>
      <w:r w:rsidRPr="001B2D97">
        <w:rPr>
          <w:lang w:val="el-GR"/>
        </w:rPr>
        <w:instrText>5%</w:instrText>
      </w:r>
      <w:r>
        <w:instrText>CE</w:instrText>
      </w:r>
      <w:r w:rsidRPr="001B2D97">
        <w:rPr>
          <w:lang w:val="el-GR"/>
        </w:rPr>
        <w:instrText>%</w:instrText>
      </w:r>
      <w:r>
        <w:instrText>BD</w:instrText>
      </w:r>
      <w:r w:rsidRPr="001B2D97">
        <w:rPr>
          <w:lang w:val="el-GR"/>
        </w:rPr>
        <w:instrText>%</w:instrText>
      </w:r>
      <w:r>
        <w:instrText>CE</w:instrText>
      </w:r>
      <w:r w:rsidRPr="001B2D97">
        <w:rPr>
          <w:lang w:val="el-GR"/>
        </w:rPr>
        <w:instrText>%</w:instrText>
      </w:r>
      <w:r>
        <w:instrText>B</w:instrText>
      </w:r>
      <w:r w:rsidRPr="001B2D97">
        <w:rPr>
          <w:lang w:val="el-GR"/>
        </w:rPr>
        <w:instrText>4%</w:instrText>
      </w:r>
      <w:r>
        <w:instrText>CF</w:instrText>
      </w:r>
      <w:r w:rsidRPr="001B2D97">
        <w:rPr>
          <w:lang w:val="el-GR"/>
        </w:rPr>
        <w:instrText>%8</w:instrText>
      </w:r>
      <w:r>
        <w:instrText>D</w:instrText>
      </w:r>
      <w:r w:rsidRPr="001B2D97">
        <w:rPr>
          <w:lang w:val="el-GR"/>
        </w:rPr>
        <w:instrText>%</w:instrText>
      </w:r>
      <w:r>
        <w:instrText>CF</w:instrText>
      </w:r>
      <w:r w:rsidRPr="001B2D97">
        <w:rPr>
          <w:lang w:val="el-GR"/>
        </w:rPr>
        <w:instrText>%83%</w:instrText>
      </w:r>
      <w:r>
        <w:instrText>CE</w:instrText>
      </w:r>
      <w:r w:rsidRPr="001B2D97">
        <w:rPr>
          <w:lang w:val="el-GR"/>
        </w:rPr>
        <w:instrText>%</w:instrText>
      </w:r>
      <w:r>
        <w:instrText>B</w:instrText>
      </w:r>
      <w:r w:rsidRPr="001B2D97">
        <w:rPr>
          <w:lang w:val="el-GR"/>
        </w:rPr>
        <w:instrText>5%</w:instrText>
      </w:r>
      <w:r>
        <w:instrText>CE</w:instrText>
      </w:r>
      <w:r w:rsidRPr="001B2D97">
        <w:rPr>
          <w:lang w:val="el-GR"/>
        </w:rPr>
        <w:instrText>%</w:instrText>
      </w:r>
      <w:r>
        <w:instrText>B</w:instrText>
      </w:r>
      <w:r w:rsidRPr="001B2D97">
        <w:rPr>
          <w:lang w:val="el-GR"/>
        </w:rPr>
        <w:instrText>9%</w:instrText>
      </w:r>
      <w:r>
        <w:instrText>CF</w:instrText>
      </w:r>
      <w:r w:rsidRPr="001B2D97">
        <w:rPr>
          <w:lang w:val="el-GR"/>
        </w:rPr>
        <w:instrText>%82+</w:instrText>
      </w:r>
      <w:r>
        <w:instrText>CLO</w:instrText>
      </w:r>
      <w:r w:rsidRPr="001B2D97">
        <w:rPr>
          <w:lang w:val="el-GR"/>
        </w:rPr>
        <w:instrText>&amp;</w:instrText>
      </w:r>
      <w:r>
        <w:instrText>client</w:instrText>
      </w:r>
      <w:r w:rsidRPr="001B2D97">
        <w:rPr>
          <w:lang w:val="el-GR"/>
        </w:rPr>
        <w:instrText>=</w:instrText>
      </w:r>
      <w:r>
        <w:instrText>firefox</w:instrText>
      </w:r>
      <w:r w:rsidRPr="001B2D97">
        <w:rPr>
          <w:lang w:val="el-GR"/>
        </w:rPr>
        <w:instrText>-</w:instrText>
      </w:r>
      <w:r>
        <w:instrText>b</w:instrText>
      </w:r>
      <w:r w:rsidRPr="001B2D97">
        <w:rPr>
          <w:lang w:val="el-GR"/>
        </w:rPr>
        <w:instrText>-</w:instrText>
      </w:r>
      <w:r>
        <w:instrText>d</w:instrText>
      </w:r>
      <w:r w:rsidRPr="001B2D97">
        <w:rPr>
          <w:lang w:val="el-GR"/>
        </w:rPr>
        <w:instrText>&amp;</w:instrText>
      </w:r>
      <w:r>
        <w:instrText>hs</w:instrText>
      </w:r>
      <w:r w:rsidRPr="001B2D97">
        <w:rPr>
          <w:lang w:val="el-GR"/>
        </w:rPr>
        <w:instrText>=</w:instrText>
      </w:r>
      <w:r>
        <w:instrText>hcD</w:instrText>
      </w:r>
      <w:r w:rsidRPr="001B2D97">
        <w:rPr>
          <w:lang w:val="el-GR"/>
        </w:rPr>
        <w:instrText>&amp;</w:instrText>
      </w:r>
      <w:r>
        <w:instrText>sca</w:instrText>
      </w:r>
      <w:r w:rsidRPr="001B2D97">
        <w:rPr>
          <w:lang w:val="el-GR"/>
        </w:rPr>
        <w:instrText>_</w:instrText>
      </w:r>
      <w:r>
        <w:instrText>esv</w:instrText>
      </w:r>
      <w:r w:rsidRPr="001B2D97">
        <w:rPr>
          <w:lang w:val="el-GR"/>
        </w:rPr>
        <w:instrText>=9</w:instrText>
      </w:r>
      <w:r>
        <w:instrText>bafd</w:instrText>
      </w:r>
      <w:r w:rsidRPr="001B2D97">
        <w:rPr>
          <w:lang w:val="el-GR"/>
        </w:rPr>
        <w:instrText>1</w:instrText>
      </w:r>
      <w:r>
        <w:instrText>a</w:instrText>
      </w:r>
      <w:r w:rsidRPr="001B2D97">
        <w:rPr>
          <w:lang w:val="el-GR"/>
        </w:rPr>
        <w:instrText>56</w:instrText>
      </w:r>
      <w:r>
        <w:instrText>c</w:instrText>
      </w:r>
      <w:r w:rsidRPr="001B2D97">
        <w:rPr>
          <w:lang w:val="el-GR"/>
        </w:rPr>
        <w:instrText>5</w:instrText>
      </w:r>
      <w:r>
        <w:instrText>e</w:instrText>
      </w:r>
      <w:r w:rsidRPr="001B2D97">
        <w:rPr>
          <w:lang w:val="el-GR"/>
        </w:rPr>
        <w:instrText>56</w:instrText>
      </w:r>
      <w:r>
        <w:instrText>c</w:instrText>
      </w:r>
      <w:r w:rsidRPr="001B2D97">
        <w:rPr>
          <w:lang w:val="el-GR"/>
        </w:rPr>
        <w:instrText>4&amp;</w:instrText>
      </w:r>
      <w:r>
        <w:instrText>ei</w:instrText>
      </w:r>
      <w:r w:rsidRPr="001B2D97">
        <w:rPr>
          <w:lang w:val="el-GR"/>
        </w:rPr>
        <w:instrText>=</w:instrText>
      </w:r>
      <w:r>
        <w:instrText>nHG</w:instrText>
      </w:r>
      <w:r w:rsidRPr="001B2D97">
        <w:rPr>
          <w:lang w:val="el-GR"/>
        </w:rPr>
        <w:instrText>8</w:instrText>
      </w:r>
      <w:r>
        <w:instrText>adrgNJ</w:instrText>
      </w:r>
      <w:r w:rsidRPr="001B2D97">
        <w:rPr>
          <w:lang w:val="el-GR"/>
        </w:rPr>
        <w:instrText>2</w:instrText>
      </w:r>
      <w:r>
        <w:instrText>O</w:instrText>
      </w:r>
      <w:r w:rsidRPr="001B2D97">
        <w:rPr>
          <w:lang w:val="el-GR"/>
        </w:rPr>
        <w:instrText>9</w:instrText>
      </w:r>
      <w:r>
        <w:instrText>u</w:instrText>
      </w:r>
      <w:r w:rsidRPr="001B2D97">
        <w:rPr>
          <w:lang w:val="el-GR"/>
        </w:rPr>
        <w:instrText>8</w:instrText>
      </w:r>
      <w:r>
        <w:instrText>Pg</w:instrText>
      </w:r>
      <w:r w:rsidRPr="001B2D97">
        <w:rPr>
          <w:lang w:val="el-GR"/>
        </w:rPr>
        <w:instrText>4</w:instrText>
      </w:r>
      <w:r>
        <w:instrText>nkgQw</w:instrText>
      </w:r>
      <w:r w:rsidRPr="001B2D97">
        <w:rPr>
          <w:lang w:val="el-GR"/>
        </w:rPr>
        <w:instrText>&amp;</w:instrText>
      </w:r>
      <w:r>
        <w:instrText>biw</w:instrText>
      </w:r>
      <w:r w:rsidRPr="001B2D97">
        <w:rPr>
          <w:lang w:val="el-GR"/>
        </w:rPr>
        <w:instrText>=2509&amp;</w:instrText>
      </w:r>
      <w:r>
        <w:instrText>bih</w:instrText>
      </w:r>
      <w:r w:rsidRPr="001B2D97">
        <w:rPr>
          <w:lang w:val="el-GR"/>
        </w:rPr>
        <w:instrText>=1279&amp;</w:instrText>
      </w:r>
      <w:r>
        <w:instrText>ved</w:instrText>
      </w:r>
      <w:r w:rsidRPr="001B2D97">
        <w:rPr>
          <w:lang w:val="el-GR"/>
        </w:rPr>
        <w:instrText>=2</w:instrText>
      </w:r>
      <w:r>
        <w:instrText>ahUKEwjxm</w:instrText>
      </w:r>
      <w:r w:rsidRPr="001B2D97">
        <w:rPr>
          <w:lang w:val="el-GR"/>
        </w:rPr>
        <w:instrText>_</w:instrText>
      </w:r>
      <w:r>
        <w:instrText>X</w:instrText>
      </w:r>
      <w:r w:rsidRPr="001B2D97">
        <w:rPr>
          <w:lang w:val="el-GR"/>
        </w:rPr>
        <w:instrText>6_</w:instrText>
      </w:r>
      <w:r>
        <w:instrText>qyTAxUY</w:instrText>
      </w:r>
      <w:r w:rsidRPr="001B2D97">
        <w:rPr>
          <w:lang w:val="el-GR"/>
        </w:rPr>
        <w:instrText>_</w:instrText>
      </w:r>
      <w:r>
        <w:instrText>wIHHQ</w:instrText>
      </w:r>
      <w:r w:rsidRPr="001B2D97">
        <w:rPr>
          <w:lang w:val="el-GR"/>
        </w:rPr>
        <w:instrText>-</w:instrText>
      </w:r>
      <w:r>
        <w:instrText>WC</w:instrText>
      </w:r>
      <w:r w:rsidRPr="001B2D97">
        <w:rPr>
          <w:lang w:val="el-GR"/>
        </w:rPr>
        <w:instrText>2</w:instrText>
      </w:r>
      <w:r>
        <w:instrText>QQgK</w:instrText>
      </w:r>
      <w:r w:rsidRPr="001B2D97">
        <w:rPr>
          <w:lang w:val="el-GR"/>
        </w:rPr>
        <w:instrText>4</w:instrText>
      </w:r>
      <w:r>
        <w:instrText>QegQIARAB</w:instrText>
      </w:r>
      <w:r w:rsidRPr="001B2D97">
        <w:rPr>
          <w:lang w:val="el-GR"/>
        </w:rPr>
        <w:instrText>&amp;</w:instrText>
      </w:r>
      <w:r>
        <w:instrText>uact</w:instrText>
      </w:r>
      <w:r w:rsidRPr="001B2D97">
        <w:rPr>
          <w:lang w:val="el-GR"/>
        </w:rPr>
        <w:instrText>=5&amp;</w:instrText>
      </w:r>
      <w:r>
        <w:instrText>oq</w:instrText>
      </w:r>
      <w:r w:rsidRPr="001B2D97">
        <w:rPr>
          <w:lang w:val="el-GR"/>
        </w:rPr>
        <w:instrText>=</w:instrText>
      </w:r>
      <w:r>
        <w:instrText>CLO</w:instrText>
      </w:r>
      <w:r w:rsidRPr="001B2D97">
        <w:rPr>
          <w:lang w:val="el-GR"/>
        </w:rPr>
        <w:instrText>+</w:instrText>
      </w:r>
      <w:r>
        <w:instrText>investments</w:instrText>
      </w:r>
      <w:r w:rsidRPr="001B2D97">
        <w:rPr>
          <w:lang w:val="el-GR"/>
        </w:rPr>
        <w:instrText>&amp;</w:instrText>
      </w:r>
      <w:r>
        <w:instrText>gs</w:instrText>
      </w:r>
      <w:r w:rsidRPr="001B2D97">
        <w:rPr>
          <w:lang w:val="el-GR"/>
        </w:rPr>
        <w:instrText>_</w:instrText>
      </w:r>
      <w:r>
        <w:instrText>lp</w:instrText>
      </w:r>
      <w:r w:rsidRPr="001B2D97">
        <w:rPr>
          <w:lang w:val="el-GR"/>
        </w:rPr>
        <w:instrText>=</w:instrText>
      </w:r>
      <w:r>
        <w:instrText>Egxnd</w:instrText>
      </w:r>
      <w:r w:rsidRPr="001B2D97">
        <w:rPr>
          <w:lang w:val="el-GR"/>
        </w:rPr>
        <w:instrText>3</w:instrText>
      </w:r>
      <w:r>
        <w:instrText>Mtd</w:instrText>
      </w:r>
      <w:r w:rsidRPr="001B2D97">
        <w:rPr>
          <w:lang w:val="el-GR"/>
        </w:rPr>
        <w:instrText>2</w:instrText>
      </w:r>
      <w:r>
        <w:instrText>l</w:instrText>
      </w:r>
      <w:r w:rsidRPr="001B2D97">
        <w:rPr>
          <w:lang w:val="el-GR"/>
        </w:rPr>
        <w:instrText>6</w:instrText>
      </w:r>
      <w:r>
        <w:instrText>LXNlcnAiD</w:instrText>
      </w:r>
      <w:r w:rsidRPr="001B2D97">
        <w:rPr>
          <w:lang w:val="el-GR"/>
        </w:rPr>
        <w:instrText>0</w:instrText>
      </w:r>
      <w:r>
        <w:instrText>NMTyBpbnZlc</w:instrText>
      </w:r>
      <w:r w:rsidRPr="001B2D97">
        <w:rPr>
          <w:lang w:val="el-GR"/>
        </w:rPr>
        <w:instrText>3</w:instrText>
      </w:r>
      <w:r>
        <w:instrText>RtZW</w:instrText>
      </w:r>
      <w:r w:rsidRPr="001B2D97">
        <w:rPr>
          <w:lang w:val="el-GR"/>
        </w:rPr>
        <w:instrText>50</w:instrText>
      </w:r>
      <w:r>
        <w:instrText>czIJEAAYgAQYExgNMgkQABiABBgTGA</w:instrText>
      </w:r>
      <w:r w:rsidRPr="001B2D97">
        <w:rPr>
          <w:lang w:val="el-GR"/>
        </w:rPr>
        <w:instrText>0</w:instrText>
      </w:r>
      <w:r>
        <w:instrText>yCBAAGBMYDRgeMgoQABgTGAoYDRgeMggQABgTGA</w:instrText>
      </w:r>
      <w:r w:rsidRPr="001B2D97">
        <w:rPr>
          <w:lang w:val="el-GR"/>
        </w:rPr>
        <w:instrText>0</w:instrText>
      </w:r>
      <w:r>
        <w:instrText>YHjIIEAAYExgNGB</w:instrText>
      </w:r>
      <w:r w:rsidRPr="001B2D97">
        <w:rPr>
          <w:lang w:val="el-GR"/>
        </w:rPr>
        <w:instrText>4</w:instrText>
      </w:r>
      <w:r>
        <w:instrText>yCBAAGBMYDRgeMggQABgTGA</w:instrText>
      </w:r>
      <w:r w:rsidRPr="001B2D97">
        <w:rPr>
          <w:lang w:val="el-GR"/>
        </w:rPr>
        <w:instrText>0</w:instrText>
      </w:r>
      <w:r>
        <w:instrText>YHjIIEAAYExgNGB</w:instrText>
      </w:r>
      <w:r w:rsidRPr="001B2D97">
        <w:rPr>
          <w:lang w:val="el-GR"/>
        </w:rPr>
        <w:instrText>4</w:instrText>
      </w:r>
      <w:r>
        <w:instrText>yCBAAGBMYDRgeSNg</w:instrText>
      </w:r>
      <w:r w:rsidRPr="001B2D97">
        <w:rPr>
          <w:lang w:val="el-GR"/>
        </w:rPr>
        <w:instrText>8</w:instrText>
      </w:r>
      <w:r>
        <w:instrText>UN</w:instrText>
      </w:r>
      <w:r w:rsidRPr="001B2D97">
        <w:rPr>
          <w:lang w:val="el-GR"/>
        </w:rPr>
        <w:instrText>4</w:instrText>
      </w:r>
      <w:r>
        <w:instrText>HWJYLcAF</w:instrText>
      </w:r>
      <w:r w:rsidRPr="001B2D97">
        <w:rPr>
          <w:lang w:val="el-GR"/>
        </w:rPr>
        <w:instrText>4</w:instrText>
      </w:r>
      <w:r>
        <w:instrText>AZABAJgBdKABrgOqAQMxLjO</w:instrText>
      </w:r>
      <w:r w:rsidRPr="001B2D97">
        <w:rPr>
          <w:lang w:val="el-GR"/>
        </w:rPr>
        <w:instrText>4</w:instrText>
      </w:r>
      <w:r>
        <w:instrText>AQPIAQD</w:instrText>
      </w:r>
      <w:r w:rsidRPr="001B2D97">
        <w:rPr>
          <w:lang w:val="el-GR"/>
        </w:rPr>
        <w:instrText>4</w:instrText>
      </w:r>
      <w:r>
        <w:instrText>AQGYAgWgAsoDwgIKEAAYsAMY</w:instrText>
      </w:r>
      <w:r w:rsidRPr="001B2D97">
        <w:rPr>
          <w:lang w:val="el-GR"/>
        </w:rPr>
        <w:instrText>1</w:instrText>
      </w:r>
      <w:r>
        <w:instrText>gQYR</w:instrText>
      </w:r>
      <w:r w:rsidRPr="001B2D97">
        <w:rPr>
          <w:lang w:val="el-GR"/>
        </w:rPr>
        <w:instrText>8</w:instrText>
      </w:r>
      <w:r>
        <w:instrText>ICCBAAGBMYBxgemAMAiAYBkAYIkgcDMS</w:instrText>
      </w:r>
      <w:r w:rsidRPr="001B2D97">
        <w:rPr>
          <w:lang w:val="el-GR"/>
        </w:rPr>
        <w:instrText>40</w:instrText>
      </w:r>
      <w:r>
        <w:instrText>oAf</w:instrText>
      </w:r>
      <w:r w:rsidRPr="001B2D97">
        <w:rPr>
          <w:lang w:val="el-GR"/>
        </w:rPr>
        <w:instrText>3</w:instrText>
      </w:r>
      <w:r>
        <w:instrText>GrIHAzAuNLgHwwPCBwMyLTXIBxSACAA</w:instrText>
      </w:r>
      <w:r w:rsidRPr="001B2D97">
        <w:rPr>
          <w:lang w:val="el-GR"/>
        </w:rPr>
        <w:instrText>&amp;</w:instrText>
      </w:r>
      <w:r>
        <w:instrText>sclient</w:instrText>
      </w:r>
      <w:r w:rsidRPr="001B2D97">
        <w:rPr>
          <w:lang w:val="el-GR"/>
        </w:rPr>
        <w:instrText>=</w:instrText>
      </w:r>
      <w:r>
        <w:instrText>gws</w:instrText>
      </w:r>
      <w:r w:rsidRPr="001B2D97">
        <w:rPr>
          <w:lang w:val="el-GR"/>
        </w:rPr>
        <w:instrText>-</w:instrText>
      </w:r>
      <w:r>
        <w:instrText>wiz</w:instrText>
      </w:r>
      <w:r w:rsidRPr="001B2D97">
        <w:rPr>
          <w:lang w:val="el-GR"/>
        </w:rPr>
        <w:instrText>-</w:instrText>
      </w:r>
      <w:r>
        <w:instrText>serp</w:instrText>
      </w:r>
      <w:r w:rsidRPr="001B2D97">
        <w:rPr>
          <w:lang w:val="el-GR"/>
        </w:rPr>
        <w:instrText>&amp;</w:instrText>
      </w:r>
      <w:r>
        <w:instrText>mstk</w:instrText>
      </w:r>
      <w:r w:rsidRPr="001B2D97">
        <w:rPr>
          <w:lang w:val="el-GR"/>
        </w:rPr>
        <w:instrText>=</w:instrText>
      </w:r>
      <w:r>
        <w:instrText>AUtExfAMHTMOjJ</w:instrText>
      </w:r>
      <w:r w:rsidRPr="001B2D97">
        <w:rPr>
          <w:lang w:val="el-GR"/>
        </w:rPr>
        <w:instrText>2</w:instrText>
      </w:r>
      <w:r>
        <w:instrText>QhwnojFy</w:instrText>
      </w:r>
      <w:r w:rsidRPr="001B2D97">
        <w:rPr>
          <w:lang w:val="el-GR"/>
        </w:rPr>
        <w:instrText>3</w:instrText>
      </w:r>
      <w:r>
        <w:instrText>JMqqfTRhJEVyS</w:instrText>
      </w:r>
      <w:r w:rsidRPr="001B2D97">
        <w:rPr>
          <w:lang w:val="el-GR"/>
        </w:rPr>
        <w:instrText>9</w:instrText>
      </w:r>
      <w:r>
        <w:instrText>X</w:instrText>
      </w:r>
      <w:r w:rsidRPr="001B2D97">
        <w:rPr>
          <w:lang w:val="el-GR"/>
        </w:rPr>
        <w:instrText>3</w:instrText>
      </w:r>
      <w:r>
        <w:instrText>IuDXv</w:instrText>
      </w:r>
      <w:r w:rsidRPr="001B2D97">
        <w:rPr>
          <w:lang w:val="el-GR"/>
        </w:rPr>
        <w:instrText>4</w:instrText>
      </w:r>
      <w:r>
        <w:instrText>RSzfI</w:instrText>
      </w:r>
      <w:r w:rsidRPr="001B2D97">
        <w:rPr>
          <w:lang w:val="el-GR"/>
        </w:rPr>
        <w:instrText>69</w:instrText>
      </w:r>
      <w:r>
        <w:instrText>NWrBd</w:instrText>
      </w:r>
      <w:r w:rsidRPr="001B2D97">
        <w:rPr>
          <w:lang w:val="el-GR"/>
        </w:rPr>
        <w:instrText>7</w:instrText>
      </w:r>
      <w:r>
        <w:instrText>SeJTcJdNaGOy</w:instrText>
      </w:r>
      <w:r w:rsidRPr="001B2D97">
        <w:rPr>
          <w:lang w:val="el-GR"/>
        </w:rPr>
        <w:instrText>3</w:instrText>
      </w:r>
      <w:r>
        <w:instrText>JYZok</w:instrText>
      </w:r>
      <w:r w:rsidRPr="001B2D97">
        <w:rPr>
          <w:lang w:val="el-GR"/>
        </w:rPr>
        <w:instrText>_</w:instrText>
      </w:r>
      <w:r>
        <w:instrText>r</w:instrText>
      </w:r>
      <w:r w:rsidRPr="001B2D97">
        <w:rPr>
          <w:lang w:val="el-GR"/>
        </w:rPr>
        <w:instrText>-</w:instrText>
      </w:r>
      <w:r>
        <w:instrText>vNZNKgP</w:instrText>
      </w:r>
      <w:r w:rsidRPr="001B2D97">
        <w:rPr>
          <w:lang w:val="el-GR"/>
        </w:rPr>
        <w:instrText>015</w:instrText>
      </w:r>
      <w:r>
        <w:instrText>I</w:instrText>
      </w:r>
      <w:r w:rsidRPr="001B2D97">
        <w:rPr>
          <w:lang w:val="el-GR"/>
        </w:rPr>
        <w:instrText>1</w:instrText>
      </w:r>
      <w:r>
        <w:instrText>ZMW</w:instrText>
      </w:r>
      <w:r w:rsidRPr="001B2D97">
        <w:rPr>
          <w:lang w:val="el-GR"/>
        </w:rPr>
        <w:instrText>8</w:instrText>
      </w:r>
      <w:r>
        <w:instrText>hXdLqMPNJAcwcfLniAYWfh</w:instrText>
      </w:r>
      <w:r w:rsidRPr="001B2D97">
        <w:rPr>
          <w:lang w:val="el-GR"/>
        </w:rPr>
        <w:instrText>0</w:instrText>
      </w:r>
      <w:r>
        <w:instrText>GAoVuuHLD</w:instrText>
      </w:r>
      <w:r w:rsidRPr="001B2D97">
        <w:rPr>
          <w:lang w:val="el-GR"/>
        </w:rPr>
        <w:instrText>8</w:instrText>
      </w:r>
      <w:r>
        <w:instrText>XbsLD</w:instrText>
      </w:r>
      <w:r w:rsidRPr="001B2D97">
        <w:rPr>
          <w:lang w:val="el-GR"/>
        </w:rPr>
        <w:instrText>8&amp;</w:instrText>
      </w:r>
      <w:r>
        <w:instrText>csui</w:instrText>
      </w:r>
      <w:r w:rsidRPr="001B2D97">
        <w:rPr>
          <w:lang w:val="el-GR"/>
        </w:rPr>
        <w:instrText>=3"</w:instrText>
      </w:r>
      <w:r>
        <w:fldChar w:fldCharType="separate"/>
      </w:r>
      <w:r w:rsidRPr="001B2D97">
        <w:rPr>
          <w:rStyle w:val="Hyperlink"/>
          <w:lang w:val="el-GR"/>
        </w:rPr>
        <w:t xml:space="preserve">επενδύσεις </w:t>
      </w:r>
      <w:r w:rsidRPr="00406554">
        <w:rPr>
          <w:rStyle w:val="Hyperlink"/>
        </w:rPr>
        <w:t>CLO</w:t>
      </w:r>
      <w:r>
        <w:fldChar w:fldCharType="end"/>
      </w:r>
      <w:r w:rsidRPr="001B2D97">
        <w:rPr>
          <w:lang w:val="el-GR"/>
        </w:rPr>
        <w:t xml:space="preserve"> (</w:t>
      </w:r>
      <w:r w:rsidRPr="00406554">
        <w:t>Collateralized</w:t>
      </w:r>
      <w:r w:rsidRPr="001B2D97">
        <w:rPr>
          <w:lang w:val="el-GR"/>
        </w:rPr>
        <w:t xml:space="preserve"> </w:t>
      </w:r>
      <w:r w:rsidRPr="00406554">
        <w:t>Loan</w:t>
      </w:r>
      <w:r w:rsidRPr="001B2D97">
        <w:rPr>
          <w:lang w:val="el-GR"/>
        </w:rPr>
        <w:t xml:space="preserve"> </w:t>
      </w:r>
      <w:r w:rsidRPr="00406554">
        <w:t>Obligations</w:t>
      </w:r>
      <w:r w:rsidRPr="001B2D97">
        <w:rPr>
          <w:lang w:val="el-GR"/>
        </w:rPr>
        <w:t>) αφορούν δομημένα χρεόγραφα που υποστηρίζονται από ένα διαφοροποιημένο χαρτοφυλάκιο μοχλευμένων δανείων, προσφέροντας κυμαινόμενο επιτόκιο. Παρέχουν υψηλές αποδόσεις, ιστορικά διψήφιες για τα μετοχικά κεφάλαια (</w:t>
      </w:r>
      <w:r w:rsidRPr="00406554">
        <w:t>CLO</w:t>
      </w:r>
      <w:r w:rsidRPr="001B2D97">
        <w:rPr>
          <w:lang w:val="el-GR"/>
        </w:rPr>
        <w:t xml:space="preserve"> </w:t>
      </w:r>
      <w:r w:rsidRPr="00406554">
        <w:t>equity</w:t>
      </w:r>
      <w:r w:rsidRPr="001B2D97">
        <w:rPr>
          <w:lang w:val="el-GR"/>
        </w:rPr>
        <w:t>), και λειτουργούν ως άμυνα έναντι της μεταβλητότητας των επιτοκίων. Οι επενδυτές επιλέγουν ανάμεσα σε διαφορετικές βαθμίδες (</w:t>
      </w:r>
      <w:r w:rsidRPr="00406554">
        <w:t>tranches</w:t>
      </w:r>
      <w:r w:rsidRPr="001B2D97">
        <w:rPr>
          <w:lang w:val="el-GR"/>
        </w:rPr>
        <w:t xml:space="preserve">) ρίσκου-απόδοσης, από </w:t>
      </w:r>
      <w:r w:rsidRPr="00406554">
        <w:t>AAA</w:t>
      </w:r>
      <w:r w:rsidRPr="001B2D97">
        <w:rPr>
          <w:lang w:val="el-GR"/>
        </w:rPr>
        <w:t xml:space="preserve"> έως μετοχικούς τίτλους</w:t>
      </w:r>
    </w:p>
    <w:p w14:paraId="5126EECF" w14:textId="77777777" w:rsidR="00E508B7" w:rsidRPr="001B2D97" w:rsidRDefault="00E508B7" w:rsidP="00E508B7">
      <w:pPr>
        <w:rPr>
          <w:b/>
          <w:bCs/>
          <w:lang w:val="el-GR"/>
        </w:rPr>
      </w:pPr>
      <w:r w:rsidRPr="001B2D97">
        <w:rPr>
          <w:b/>
          <w:bCs/>
          <w:lang w:val="el-GR"/>
        </w:rPr>
        <w:t xml:space="preserve">Τι είναι οι συναλλαγές </w:t>
      </w:r>
      <w:proofErr w:type="spellStart"/>
      <w:r w:rsidRPr="00406554">
        <w:rPr>
          <w:b/>
          <w:bCs/>
        </w:rPr>
        <w:t>SRT</w:t>
      </w:r>
      <w:proofErr w:type="spellEnd"/>
      <w:r w:rsidRPr="001B2D97">
        <w:rPr>
          <w:b/>
          <w:bCs/>
          <w:lang w:val="el-GR"/>
        </w:rPr>
        <w:t>;</w:t>
      </w:r>
    </w:p>
    <w:p w14:paraId="5DA46153" w14:textId="77777777" w:rsidR="00E508B7" w:rsidRPr="001B2D97" w:rsidRDefault="00E508B7" w:rsidP="00E508B7">
      <w:pPr>
        <w:rPr>
          <w:lang w:val="el-GR"/>
        </w:rPr>
      </w:pPr>
      <w:r w:rsidRPr="001B2D97">
        <w:rPr>
          <w:lang w:val="el-GR"/>
        </w:rPr>
        <w:t xml:space="preserve">Οι τράπεζες συχνά χορηγούν δάνεια που απαιτούν υποστήριξη από εποπτικά κεφάλαια βάσει κανόνων όπως η Βασιλεία ΙΙΙ. Για την αποτελεσματική διαχείριση του κεφαλαίου τους, οι τράπεζες στρέφονται στις συναλλαγές </w:t>
      </w:r>
      <w:proofErr w:type="spellStart"/>
      <w:r w:rsidRPr="00406554">
        <w:t>SRT</w:t>
      </w:r>
      <w:proofErr w:type="spellEnd"/>
      <w:r w:rsidRPr="001B2D97">
        <w:rPr>
          <w:lang w:val="el-GR"/>
        </w:rPr>
        <w:t xml:space="preserve">. Σε μια συμφωνία </w:t>
      </w:r>
      <w:proofErr w:type="spellStart"/>
      <w:r w:rsidRPr="00406554">
        <w:t>SRT</w:t>
      </w:r>
      <w:proofErr w:type="spellEnd"/>
      <w:r w:rsidRPr="001B2D97">
        <w:rPr>
          <w:lang w:val="el-GR"/>
        </w:rPr>
        <w:t>, η τράπεζα διατηρεί τα υποκείμενα δάνεια στον ισολογισμό της, αλλά μεταφέρει σημαντικό μέρος του κινδύνου τους σε εξωτερικούς επενδυτές, συνήθως μέσω πιστωτικών παραγώγων όπως ομόλογα που συνδέονται με την πίστωση. Στόχος είναι η ελάφρυνση του ρυθμιστικού κεφαλαίου.</w:t>
      </w:r>
    </w:p>
    <w:p w14:paraId="06369D19" w14:textId="77777777" w:rsidR="00E508B7" w:rsidRPr="001B2D97" w:rsidRDefault="00E508B7" w:rsidP="00E508B7">
      <w:pPr>
        <w:rPr>
          <w:b/>
          <w:bCs/>
          <w:lang w:val="el-GR"/>
        </w:rPr>
      </w:pPr>
      <w:r w:rsidRPr="001B2D97">
        <w:rPr>
          <w:b/>
          <w:bCs/>
          <w:lang w:val="el-GR"/>
        </w:rPr>
        <w:t xml:space="preserve">Τι είναι τα </w:t>
      </w:r>
      <w:r w:rsidRPr="00406554">
        <w:rPr>
          <w:b/>
          <w:bCs/>
        </w:rPr>
        <w:t>CLO</w:t>
      </w:r>
      <w:r w:rsidRPr="001B2D97">
        <w:rPr>
          <w:b/>
          <w:bCs/>
          <w:lang w:val="el-GR"/>
        </w:rPr>
        <w:t>;</w:t>
      </w:r>
    </w:p>
    <w:p w14:paraId="783589CB" w14:textId="77777777" w:rsidR="00E508B7" w:rsidRPr="001B2D97" w:rsidRDefault="00E508B7" w:rsidP="00E508B7">
      <w:pPr>
        <w:rPr>
          <w:lang w:val="el-GR"/>
        </w:rPr>
      </w:pPr>
      <w:r w:rsidRPr="001B2D97">
        <w:rPr>
          <w:lang w:val="el-GR"/>
        </w:rPr>
        <w:t xml:space="preserve">Τα </w:t>
      </w:r>
      <w:r w:rsidRPr="00406554">
        <w:t>CLO</w:t>
      </w:r>
      <w:r w:rsidRPr="001B2D97">
        <w:rPr>
          <w:lang w:val="el-GR"/>
        </w:rPr>
        <w:t xml:space="preserve">, από την άλλη πλευρά, είναι δομημένα χρηματοπιστωτικά οχήματα που αγοράζουν ένα ποικίλο χαρτοφυλάκιο εταιρικών δανείων, χρηματοδοτώντας τα με την έκδοση πολλαπλών δόσεων χρέους (και ιδίων κεφαλαίων) σε επενδυτές. Σε αντίθεση με το </w:t>
      </w:r>
      <w:proofErr w:type="spellStart"/>
      <w:r w:rsidRPr="00406554">
        <w:t>SRT</w:t>
      </w:r>
      <w:proofErr w:type="spellEnd"/>
      <w:r w:rsidRPr="001B2D97">
        <w:rPr>
          <w:lang w:val="el-GR"/>
        </w:rPr>
        <w:t xml:space="preserve">, τα περιουσιακά στοιχεία </w:t>
      </w:r>
      <w:r w:rsidRPr="00406554">
        <w:t>CLO</w:t>
      </w:r>
      <w:r w:rsidRPr="001B2D97">
        <w:rPr>
          <w:lang w:val="el-GR"/>
        </w:rPr>
        <w:t xml:space="preserve"> βρίσκονται εκτός του ισολογισμού της τράπεζας και διαχειρίζονται ενεργά από έναν ειδικό διαχειριστή </w:t>
      </w:r>
      <w:r w:rsidRPr="00406554">
        <w:t>CLO</w:t>
      </w:r>
      <w:r w:rsidRPr="001B2D97">
        <w:rPr>
          <w:lang w:val="el-GR"/>
        </w:rPr>
        <w:t xml:space="preserve"> για τη διατήρηση της πιστωτικής ποιότητας ή την επιδίωξη ελκυστικών αποδόσεων.</w:t>
      </w:r>
    </w:p>
    <w:p w14:paraId="38F4160D" w14:textId="77777777" w:rsidR="00E508B7" w:rsidRPr="001B2D97" w:rsidRDefault="00E508B7" w:rsidP="00E508B7">
      <w:pPr>
        <w:rPr>
          <w:lang w:val="el-GR"/>
        </w:rPr>
      </w:pPr>
    </w:p>
    <w:p w14:paraId="06FEBA62" w14:textId="77777777" w:rsidR="00E508B7" w:rsidRPr="001B2D97" w:rsidRDefault="00E508B7" w:rsidP="00E508B7">
      <w:pPr>
        <w:rPr>
          <w:lang w:val="el-GR"/>
        </w:rPr>
      </w:pPr>
    </w:p>
    <w:p w14:paraId="1F91EABE" w14:textId="77777777" w:rsidR="008E449A" w:rsidRPr="00E508B7" w:rsidRDefault="008E449A">
      <w:pPr>
        <w:rPr>
          <w:lang w:val="el-GR"/>
        </w:rPr>
      </w:pPr>
    </w:p>
    <w:sectPr w:rsidR="008E449A" w:rsidRPr="00E50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17155"/>
    <w:multiLevelType w:val="multilevel"/>
    <w:tmpl w:val="50DA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00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08"/>
    <w:rsid w:val="001A58B3"/>
    <w:rsid w:val="001E4362"/>
    <w:rsid w:val="002D097E"/>
    <w:rsid w:val="00455E0A"/>
    <w:rsid w:val="004E6DBE"/>
    <w:rsid w:val="007644FC"/>
    <w:rsid w:val="008E449A"/>
    <w:rsid w:val="00B258DA"/>
    <w:rsid w:val="00BC350B"/>
    <w:rsid w:val="00E508B7"/>
    <w:rsid w:val="00F31F08"/>
    <w:rsid w:val="00F7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2759"/>
  <w15:chartTrackingRefBased/>
  <w15:docId w15:val="{14608A71-E146-4F40-9E0F-FD94DF12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F08"/>
  </w:style>
  <w:style w:type="paragraph" w:styleId="Heading1">
    <w:name w:val="heading 1"/>
    <w:basedOn w:val="Normal"/>
    <w:next w:val="Normal"/>
    <w:link w:val="Heading1Char"/>
    <w:uiPriority w:val="9"/>
    <w:qFormat/>
    <w:rsid w:val="00F31F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F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F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F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1F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1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F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F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F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F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1F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1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F08"/>
    <w:rPr>
      <w:rFonts w:eastAsiaTheme="majorEastAsia" w:cstheme="majorBidi"/>
      <w:color w:val="272727" w:themeColor="text1" w:themeTint="D8"/>
    </w:rPr>
  </w:style>
  <w:style w:type="paragraph" w:styleId="Title">
    <w:name w:val="Title"/>
    <w:basedOn w:val="Normal"/>
    <w:next w:val="Normal"/>
    <w:link w:val="TitleChar"/>
    <w:uiPriority w:val="10"/>
    <w:qFormat/>
    <w:rsid w:val="00F31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F08"/>
    <w:pPr>
      <w:spacing w:before="160"/>
      <w:jc w:val="center"/>
    </w:pPr>
    <w:rPr>
      <w:i/>
      <w:iCs/>
      <w:color w:val="404040" w:themeColor="text1" w:themeTint="BF"/>
    </w:rPr>
  </w:style>
  <w:style w:type="character" w:customStyle="1" w:styleId="QuoteChar">
    <w:name w:val="Quote Char"/>
    <w:basedOn w:val="DefaultParagraphFont"/>
    <w:link w:val="Quote"/>
    <w:uiPriority w:val="29"/>
    <w:rsid w:val="00F31F08"/>
    <w:rPr>
      <w:i/>
      <w:iCs/>
      <w:color w:val="404040" w:themeColor="text1" w:themeTint="BF"/>
    </w:rPr>
  </w:style>
  <w:style w:type="paragraph" w:styleId="ListParagraph">
    <w:name w:val="List Paragraph"/>
    <w:basedOn w:val="Normal"/>
    <w:uiPriority w:val="34"/>
    <w:qFormat/>
    <w:rsid w:val="00F31F08"/>
    <w:pPr>
      <w:ind w:left="720"/>
      <w:contextualSpacing/>
    </w:pPr>
  </w:style>
  <w:style w:type="character" w:styleId="IntenseEmphasis">
    <w:name w:val="Intense Emphasis"/>
    <w:basedOn w:val="DefaultParagraphFont"/>
    <w:uiPriority w:val="21"/>
    <w:qFormat/>
    <w:rsid w:val="00F31F08"/>
    <w:rPr>
      <w:i/>
      <w:iCs/>
      <w:color w:val="2F5496" w:themeColor="accent1" w:themeShade="BF"/>
    </w:rPr>
  </w:style>
  <w:style w:type="paragraph" w:styleId="IntenseQuote">
    <w:name w:val="Intense Quote"/>
    <w:basedOn w:val="Normal"/>
    <w:next w:val="Normal"/>
    <w:link w:val="IntenseQuoteChar"/>
    <w:uiPriority w:val="30"/>
    <w:qFormat/>
    <w:rsid w:val="00F31F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F08"/>
    <w:rPr>
      <w:i/>
      <w:iCs/>
      <w:color w:val="2F5496" w:themeColor="accent1" w:themeShade="BF"/>
    </w:rPr>
  </w:style>
  <w:style w:type="character" w:styleId="IntenseReference">
    <w:name w:val="Intense Reference"/>
    <w:basedOn w:val="DefaultParagraphFont"/>
    <w:uiPriority w:val="32"/>
    <w:qFormat/>
    <w:rsid w:val="00F31F08"/>
    <w:rPr>
      <w:b/>
      <w:bCs/>
      <w:smallCaps/>
      <w:color w:val="2F5496" w:themeColor="accent1" w:themeShade="BF"/>
      <w:spacing w:val="5"/>
    </w:rPr>
  </w:style>
  <w:style w:type="character" w:styleId="Hyperlink">
    <w:name w:val="Hyperlink"/>
    <w:basedOn w:val="DefaultParagraphFont"/>
    <w:uiPriority w:val="99"/>
    <w:unhideWhenUsed/>
    <w:rsid w:val="00F31F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com/news/terminal/T5MD2NKJH6V8" TargetMode="External"/><Relationship Id="rId13" Type="http://schemas.openxmlformats.org/officeDocument/2006/relationships/hyperlink" Target="https://www.pag.com/en/interview-pags-james-parsons-on-significant-risk-transfer-stepping-into-the-spotlight" TargetMode="External"/><Relationship Id="rId18" Type="http://schemas.openxmlformats.org/officeDocument/2006/relationships/hyperlink" Target="https://www.ocorian.com/knowledge-hub/insights/synthetic-risk-transfer-five-things-know"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loomberg.com/authors/AOp9iyfjAFQ/nicholas-comfort" TargetMode="External"/><Relationship Id="rId12" Type="http://schemas.openxmlformats.org/officeDocument/2006/relationships/hyperlink" Target="https://www.grantthornton.co.uk/insights/srts--the-best-kept-secret/" TargetMode="External"/><Relationship Id="rId17" Type="http://schemas.openxmlformats.org/officeDocument/2006/relationships/hyperlink" Target="https://www.google.com/search?q=%CE%B5%CF%80%CE%B5%CE%BD%CE%B4%CF%8D%CF%83%CE%B5%CE%B9%CF%82+CLO&amp;client=firefox-b-d&amp;hs=hcD&amp;sca_esv=9bafd1a56c5e56c4&amp;ei=nHG8adrgNJ2O9u8Pg4nkgQw&amp;biw=2509&amp;bih=1279&amp;ved=2ahUKEwjxm_X6_qyTAxUY_wIHHQ-WC2QQgK4QegQIARAB&amp;uact=5&amp;oq=CLO+investments&amp;gs_lp=Egxnd3Mtd2l6LXNlcnAiD0NMTyBpbnZlc3RtZW50czIJEAAYgAQYExgNMgkQABiABBgTGA0yCBAAGBMYDRgeMgoQABgTGAoYDRgeMggQABgTGA0YHjIIEAAYExgNGB4yCBAAGBMYDRgeMggQABgTGA0YHjIIEAAYExgNGB4yCBAAGBMYDRgeSNg8UN4HWJYLcAF4AZABAJgBdKABrgOqAQMxLjO4AQPIAQD4AQGYAgWgAsoDwgIKEAAYsAMY1gQYR8ICCBAAGBMYBxgemAMAiAYBkAYIkgcDMS40oAf3GrIHAzAuNLgHwwPCBwMyLTXIBxSACAA&amp;sclient=gws-wiz-serp&amp;mstk=AUtExfAMHTMOjJ2QhwnojFy3JMqqfTRhJEVyS9X3IuDXv4RSzfI69NWrBd7SeJTcJdNaGOy3JYZok_r-vNZNKgP015I1ZMW8hXdLqMPNJAcwcfLniAYWfh0GAoVuuHLD8XbsLD8&amp;csui=3" TargetMode="External"/><Relationship Id="rId2" Type="http://schemas.openxmlformats.org/officeDocument/2006/relationships/styles" Target="styles.xml"/><Relationship Id="rId16" Type="http://schemas.openxmlformats.org/officeDocument/2006/relationships/hyperlink" Target="https://resonanzcapital.com/insights/structured-credit-why-srt-and-clo-are-different-games" TargetMode="External"/><Relationship Id="rId20" Type="http://schemas.openxmlformats.org/officeDocument/2006/relationships/hyperlink" Target="https://resonanzcapital.com/insights/structured-credit-why-srt-and-clo-are-different-games" TargetMode="External"/><Relationship Id="rId1" Type="http://schemas.openxmlformats.org/officeDocument/2006/relationships/numbering" Target="numbering.xml"/><Relationship Id="rId6" Type="http://schemas.openxmlformats.org/officeDocument/2006/relationships/hyperlink" Target="https://www.bloomberg.com/authors/AXMJgpf38TE/claudia-cohen" TargetMode="External"/><Relationship Id="rId11" Type="http://schemas.openxmlformats.org/officeDocument/2006/relationships/hyperlink" Target="https://www.ocorian.com/knowledge-hub/insights/synthetic-risk-transfer-five-things-know" TargetMode="External"/><Relationship Id="rId5" Type="http://schemas.openxmlformats.org/officeDocument/2006/relationships/hyperlink" Target="https://www.bloomberg.com/authors/AOUfBtus1QY/esteban-duarte" TargetMode="External"/><Relationship Id="rId15" Type="http://schemas.openxmlformats.org/officeDocument/2006/relationships/image" Target="media/image1.png"/><Relationship Id="rId10" Type="http://schemas.openxmlformats.org/officeDocument/2006/relationships/hyperlink" Target="https://www.bloomberg.com/news/articles/2026-03-16/watchdogs-should-incorporate-srts-into-stress-tests-bis-says" TargetMode="External"/><Relationship Id="rId19" Type="http://schemas.openxmlformats.org/officeDocument/2006/relationships/hyperlink" Target="https://www.grantthornton.co.uk/insights/srts--the-best-kept-secret/" TargetMode="External"/><Relationship Id="rId4" Type="http://schemas.openxmlformats.org/officeDocument/2006/relationships/webSettings" Target="webSettings.xml"/><Relationship Id="rId9" Type="http://schemas.openxmlformats.org/officeDocument/2006/relationships/hyperlink" Target="https://www.bloomberg.com/news/articles/2025-10-06/srt-market-is-riddled-with-gaps-in-disclosure-imf-officials-say" TargetMode="External"/><Relationship Id="rId14" Type="http://schemas.openxmlformats.org/officeDocument/2006/relationships/hyperlink" Target="https://www.bis.org/publ/qtrpdf/r_qt2603c.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2307</Words>
  <Characters>13156</Characters>
  <Application>Microsoft Office Word</Application>
  <DocSecurity>0</DocSecurity>
  <Lines>109</Lines>
  <Paragraphs>30</Paragraphs>
  <ScaleCrop>false</ScaleCrop>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c:description/>
  <cp:lastModifiedBy>DIMITRIOS KAMPIS</cp:lastModifiedBy>
  <cp:revision>2</cp:revision>
  <dcterms:created xsi:type="dcterms:W3CDTF">2026-03-19T23:33:00Z</dcterms:created>
  <dcterms:modified xsi:type="dcterms:W3CDTF">2026-03-19T23:33:00Z</dcterms:modified>
</cp:coreProperties>
</file>