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A06E" w14:textId="77777777" w:rsidR="000D2EDD" w:rsidRPr="000D2EDD" w:rsidRDefault="000D2EDD" w:rsidP="000D2EDD">
      <w:pPr>
        <w:shd w:val="clear" w:color="auto" w:fill="FFFFFF"/>
        <w:spacing w:after="0" w:line="240" w:lineRule="auto"/>
        <w:ind w:left="-15" w:right="-15"/>
        <w:outlineLvl w:val="0"/>
        <w:rPr>
          <w:rFonts w:ascii="inherit" w:eastAsia="Times New Roman" w:hAnsi="inherit" w:cs="Times New Roman"/>
          <w:b/>
          <w:bCs/>
          <w:color w:val="333333"/>
          <w:kern w:val="36"/>
          <w:sz w:val="36"/>
          <w:szCs w:val="36"/>
          <w:lang w:val="el-GR"/>
          <w14:ligatures w14:val="none"/>
        </w:rPr>
      </w:pPr>
      <w:r w:rsidRPr="000D2EDD">
        <w:rPr>
          <w:rFonts w:ascii="inherit" w:eastAsia="Times New Roman" w:hAnsi="inherit" w:cs="Times New Roman"/>
          <w:b/>
          <w:bCs/>
          <w:color w:val="333333"/>
          <w:kern w:val="36"/>
          <w:sz w:val="36"/>
          <w:szCs w:val="36"/>
          <w:lang w:val="el-GR"/>
          <w14:ligatures w14:val="none"/>
        </w:rPr>
        <w:t xml:space="preserve">Οικονομικά στοιχεία της </w:t>
      </w:r>
      <w:r w:rsidRPr="000D2EDD">
        <w:rPr>
          <w:rFonts w:ascii="inherit" w:eastAsia="Times New Roman" w:hAnsi="inherit" w:cs="Times New Roman"/>
          <w:b/>
          <w:bCs/>
          <w:color w:val="333333"/>
          <w:kern w:val="36"/>
          <w:sz w:val="36"/>
          <w:szCs w:val="36"/>
          <w14:ligatures w14:val="none"/>
        </w:rPr>
        <w:t>Federal</w:t>
      </w:r>
      <w:r w:rsidRPr="000D2EDD">
        <w:rPr>
          <w:rFonts w:ascii="inherit" w:eastAsia="Times New Roman" w:hAnsi="inherit" w:cs="Times New Roman"/>
          <w:b/>
          <w:bCs/>
          <w:color w:val="333333"/>
          <w:kern w:val="36"/>
          <w:sz w:val="36"/>
          <w:szCs w:val="36"/>
          <w:lang w:val="el-GR"/>
          <w14:ligatures w14:val="none"/>
        </w:rPr>
        <w:t xml:space="preserve"> </w:t>
      </w:r>
      <w:r w:rsidRPr="000D2EDD">
        <w:rPr>
          <w:rFonts w:ascii="inherit" w:eastAsia="Times New Roman" w:hAnsi="inherit" w:cs="Times New Roman"/>
          <w:b/>
          <w:bCs/>
          <w:color w:val="333333"/>
          <w:kern w:val="36"/>
          <w:sz w:val="36"/>
          <w:szCs w:val="36"/>
          <w14:ligatures w14:val="none"/>
        </w:rPr>
        <w:t>Reserve</w:t>
      </w:r>
    </w:p>
    <w:p w14:paraId="6DBC9D4F" w14:textId="77777777" w:rsidR="000D2EDD" w:rsidRPr="000D2EDD" w:rsidRDefault="000D2EDD" w:rsidP="000D2EDD">
      <w:pPr>
        <w:shd w:val="clear" w:color="auto" w:fill="FFFFFF"/>
        <w:spacing w:before="240" w:after="0" w:line="240" w:lineRule="auto"/>
        <w:outlineLvl w:val="0"/>
        <w:rPr>
          <w:rFonts w:ascii="inherit" w:eastAsia="Times New Roman" w:hAnsi="inherit" w:cs="Times New Roman"/>
          <w:b/>
          <w:bCs/>
          <w:color w:val="333333"/>
          <w:kern w:val="36"/>
          <w:sz w:val="36"/>
          <w:szCs w:val="36"/>
          <w:lang w:val="el-GR"/>
          <w14:ligatures w14:val="none"/>
        </w:rPr>
      </w:pPr>
      <w:hyperlink r:id="rId5" w:tooltip="Permalink to The relationship among oil prices, food costs, and consumer inflation" w:history="1">
        <w:r w:rsidRPr="000D2EDD">
          <w:rPr>
            <w:rFonts w:ascii="Roboto" w:eastAsia="Times New Roman" w:hAnsi="Roboto" w:cs="Times New Roman"/>
            <w:b/>
            <w:bCs/>
            <w:color w:val="0066CC"/>
            <w:kern w:val="36"/>
            <w:sz w:val="30"/>
            <w:szCs w:val="30"/>
            <w:u w:val="single"/>
            <w:lang w:val="el-GR"/>
            <w14:ligatures w14:val="none"/>
          </w:rPr>
          <w:t>Η σχέση μεταξύ των τιμών του πετρελαίου, του κόστους των τροφίμων και του πληθωρισμού των καταναλωτών</w:t>
        </w:r>
      </w:hyperlink>
    </w:p>
    <w:p w14:paraId="2B225EE5" w14:textId="7D4AE5CE" w:rsidR="000D2EDD" w:rsidRDefault="000D2EDD" w:rsidP="000D2EDD">
      <w:pPr>
        <w:shd w:val="clear" w:color="auto" w:fill="FFFFFF"/>
        <w:spacing w:after="0" w:line="240" w:lineRule="auto"/>
        <w:rPr>
          <w:rFonts w:ascii="Roboto" w:eastAsia="Times New Roman" w:hAnsi="Roboto" w:cs="Times New Roman"/>
          <w:color w:val="333333"/>
          <w:kern w:val="0"/>
          <w14:ligatures w14:val="none"/>
        </w:rPr>
      </w:pPr>
      <w:r w:rsidRPr="000D2EDD">
        <w:rPr>
          <w:rFonts w:ascii="Roboto" w:eastAsia="Times New Roman" w:hAnsi="Roboto" w:cs="Times New Roman"/>
          <w:color w:val="333333"/>
          <w:kern w:val="0"/>
          <w14:ligatures w14:val="none"/>
        </w:rPr>
        <w:t>   </w:t>
      </w:r>
      <w:r w:rsidRPr="000D2EDD">
        <w:rPr>
          <w:rFonts w:ascii="Roboto" w:eastAsia="Times New Roman" w:hAnsi="Roboto" w:cs="Times New Roman"/>
          <w:color w:val="333333"/>
          <w:kern w:val="0"/>
          <w:lang w:val="el-GR"/>
          <w14:ligatures w14:val="none"/>
        </w:rPr>
        <w:br w:type="textWrapping" w:clear="all"/>
      </w:r>
      <w:r w:rsidRPr="000D2EDD">
        <w:rPr>
          <w:rFonts w:ascii="Roboto" w:eastAsia="Times New Roman" w:hAnsi="Roboto" w:cs="Times New Roman"/>
          <w:color w:val="999999"/>
          <w:kern w:val="0"/>
          <w:sz w:val="22"/>
          <w:szCs w:val="22"/>
          <w:lang w:val="el-GR"/>
          <w14:ligatures w14:val="none"/>
        </w:rPr>
        <w:t>Δημοσιεύτηκε στις</w:t>
      </w:r>
      <w:r w:rsidRPr="000D2EDD">
        <w:rPr>
          <w:rFonts w:ascii="Roboto" w:eastAsia="Times New Roman" w:hAnsi="Roboto" w:cs="Times New Roman"/>
          <w:color w:val="333333"/>
          <w:kern w:val="0"/>
          <w14:ligatures w14:val="none"/>
        </w:rPr>
        <w:t> </w:t>
      </w:r>
      <w:hyperlink r:id="rId6" w:tooltip="8:00 am" w:history="1">
        <w:r w:rsidRPr="000D2EDD">
          <w:rPr>
            <w:rFonts w:ascii="Roboto" w:eastAsia="Times New Roman" w:hAnsi="Roboto" w:cs="Times New Roman"/>
            <w:color w:val="999999"/>
            <w:kern w:val="0"/>
            <w:sz w:val="22"/>
            <w:szCs w:val="22"/>
            <w:u w:val="single"/>
            <w:lang w:val="el-GR"/>
            <w14:ligatures w14:val="none"/>
          </w:rPr>
          <w:t>12 Μαρτίου, 2026</w:t>
        </w:r>
      </w:hyperlink>
    </w:p>
    <w:p w14:paraId="03759BB1" w14:textId="77777777" w:rsidR="000D2EDD" w:rsidRDefault="000D2EDD" w:rsidP="000D2EDD">
      <w:pPr>
        <w:shd w:val="clear" w:color="auto" w:fill="FFFFFF"/>
        <w:spacing w:after="0" w:line="240" w:lineRule="auto"/>
        <w:rPr>
          <w:rFonts w:ascii="Roboto" w:eastAsia="Times New Roman" w:hAnsi="Roboto" w:cs="Times New Roman"/>
          <w:color w:val="333333"/>
          <w:kern w:val="0"/>
          <w14:ligatures w14:val="none"/>
        </w:rPr>
      </w:pPr>
    </w:p>
    <w:p w14:paraId="39BB54F2" w14:textId="74032FA9" w:rsidR="000D2EDD" w:rsidRDefault="000D2EDD" w:rsidP="000D2EDD">
      <w:pPr>
        <w:shd w:val="clear" w:color="auto" w:fill="FFFFFF"/>
        <w:spacing w:after="0" w:line="240" w:lineRule="auto"/>
        <w:rPr>
          <w:rFonts w:ascii="Roboto" w:eastAsia="Times New Roman" w:hAnsi="Roboto" w:cs="Times New Roman"/>
          <w:color w:val="333333"/>
          <w:kern w:val="0"/>
          <w14:ligatures w14:val="none"/>
        </w:rPr>
      </w:pPr>
      <w:r w:rsidRPr="000D2EDD">
        <w:rPr>
          <w:rFonts w:ascii="Roboto" w:eastAsia="Times New Roman" w:hAnsi="Roboto" w:cs="Times New Roman"/>
          <w:color w:val="333333"/>
          <w:kern w:val="0"/>
          <w14:ligatures w14:val="none"/>
        </w:rPr>
        <w:drawing>
          <wp:inline distT="0" distB="0" distL="0" distR="0" wp14:anchorId="3948500B" wp14:editId="7CB429B7">
            <wp:extent cx="5943600" cy="3386455"/>
            <wp:effectExtent l="0" t="0" r="0" b="4445"/>
            <wp:docPr id="3" name="FRED Graph Chart" descr="FRED Graph">
              <a:hlinkClick xmlns:a="http://schemas.openxmlformats.org/drawingml/2006/main" r:id="rId7" tooltip="View this chart in your browser.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D Graph Chart" descr="FRED Graph">
                      <a:hlinkClick r:id="rId7" tooltip="View this chart in your browser. "/>
                    </pic:cNvPr>
                    <pic:cNvPicPr>
                      <a:picLocks noChangeAspect="1"/>
                    </pic:cNvPicPr>
                  </pic:nvPicPr>
                  <pic:blipFill>
                    <a:blip r:embed="rId8"/>
                    <a:stretch>
                      <a:fillRect/>
                    </a:stretch>
                  </pic:blipFill>
                  <pic:spPr>
                    <a:xfrm>
                      <a:off x="0" y="0"/>
                      <a:ext cx="5943600" cy="3386455"/>
                    </a:xfrm>
                    <a:prstGeom prst="rect">
                      <a:avLst/>
                    </a:prstGeom>
                  </pic:spPr>
                </pic:pic>
              </a:graphicData>
            </a:graphic>
          </wp:inline>
        </w:drawing>
      </w:r>
    </w:p>
    <w:p w14:paraId="7D328E9B" w14:textId="77777777" w:rsidR="000D2EDD" w:rsidRPr="000D2EDD" w:rsidRDefault="000D2EDD" w:rsidP="000D2EDD">
      <w:pPr>
        <w:shd w:val="clear" w:color="auto" w:fill="FFFFFF"/>
        <w:spacing w:after="0" w:line="240" w:lineRule="auto"/>
        <w:rPr>
          <w:rFonts w:ascii="Roboto" w:eastAsia="Times New Roman" w:hAnsi="Roboto" w:cs="Times New Roman"/>
          <w:color w:val="333333"/>
          <w:kern w:val="0"/>
          <w14:ligatures w14:val="none"/>
        </w:rPr>
      </w:pPr>
    </w:p>
    <w:p w14:paraId="609F4D95"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color w:val="333333"/>
          <w:kern w:val="0"/>
          <w:lang w:val="el-GR"/>
          <w14:ligatures w14:val="none"/>
        </w:rPr>
        <w:t xml:space="preserve">Η στρατιωτική εκστρατεία των ΗΠΑ κατά του Ιράν και οι δευτερογενείς επιπτώσεις της στη Μέση Ανατολή έχουν ωθήσει τις τιμές του πετρελαίου απότομα υψηλότερα, ανανεώνοντας το ενδιαφέρον για ένα μακροχρόνιο ερώτημα: Τι σημαίνουν οι κινήσεις στις τιμές του πετρελαίου για το ευρύτερο κόστος ζωής; Τα δεδομένα στο </w:t>
      </w:r>
      <w:r w:rsidRPr="000D2EDD">
        <w:rPr>
          <w:rFonts w:ascii="Roboto" w:eastAsia="Times New Roman" w:hAnsi="Roboto" w:cs="Times New Roman"/>
          <w:color w:val="333333"/>
          <w:kern w:val="0"/>
          <w14:ligatures w14:val="none"/>
        </w:rPr>
        <w:t>FRED</w:t>
      </w:r>
      <w:r w:rsidRPr="000D2EDD">
        <w:rPr>
          <w:rFonts w:ascii="Roboto" w:eastAsia="Times New Roman" w:hAnsi="Roboto" w:cs="Times New Roman"/>
          <w:color w:val="333333"/>
          <w:kern w:val="0"/>
          <w:lang w:val="el-GR"/>
          <w14:ligatures w14:val="none"/>
        </w:rPr>
        <w:t xml:space="preserve"> προσφέρουν μια μακρά ιστορική προοπτική για το πώς οι τιμές του πετρελαίου έχουν συνυπολογιστεί με τις τιμές των τροφίμων και τον πληθωρισμό καταναλωτή, κάτι που μπορεί να βοηθήσει στην ενημέρωση αυτού του ερωτήματος.</w:t>
      </w:r>
    </w:p>
    <w:p w14:paraId="5A703787"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b/>
          <w:bCs/>
          <w:color w:val="333333"/>
          <w:kern w:val="0"/>
          <w:lang w:val="el-GR"/>
          <w14:ligatures w14:val="none"/>
        </w:rPr>
        <w:t>Τιμές πετρελαίου και τροφίμων</w:t>
      </w:r>
    </w:p>
    <w:p w14:paraId="1E0F0D30"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color w:val="333333"/>
          <w:kern w:val="0"/>
          <w:lang w:val="el-GR"/>
          <w14:ligatures w14:val="none"/>
        </w:rPr>
        <w:t xml:space="preserve">Το πρώτο μας γράφημα </w:t>
      </w:r>
      <w:r w:rsidRPr="000D2EDD">
        <w:rPr>
          <w:rFonts w:ascii="Roboto" w:eastAsia="Times New Roman" w:hAnsi="Roboto" w:cs="Times New Roman"/>
          <w:color w:val="333333"/>
          <w:kern w:val="0"/>
          <w14:ligatures w14:val="none"/>
        </w:rPr>
        <w:t>FRED</w:t>
      </w:r>
      <w:r w:rsidRPr="000D2EDD">
        <w:rPr>
          <w:rFonts w:ascii="Roboto" w:eastAsia="Times New Roman" w:hAnsi="Roboto" w:cs="Times New Roman"/>
          <w:color w:val="333333"/>
          <w:kern w:val="0"/>
          <w:lang w:val="el-GR"/>
          <w14:ligatures w14:val="none"/>
        </w:rPr>
        <w:t xml:space="preserve">, παραπάνω, παρακολουθεί τον Παγκόσμιο Δείκτη Τιμών Τροφίμων παράλληλα με τις τιμές του αργού πετρελαίου </w:t>
      </w:r>
      <w:r w:rsidRPr="000D2EDD">
        <w:rPr>
          <w:rFonts w:ascii="Roboto" w:eastAsia="Times New Roman" w:hAnsi="Roboto" w:cs="Times New Roman"/>
          <w:color w:val="333333"/>
          <w:kern w:val="0"/>
          <w14:ligatures w14:val="none"/>
        </w:rPr>
        <w:t>Brent</w:t>
      </w:r>
      <w:r w:rsidRPr="000D2EDD">
        <w:rPr>
          <w:rFonts w:ascii="Roboto" w:eastAsia="Times New Roman" w:hAnsi="Roboto" w:cs="Times New Roman"/>
          <w:color w:val="333333"/>
          <w:kern w:val="0"/>
          <w:lang w:val="el-GR"/>
          <w14:ligatures w14:val="none"/>
        </w:rPr>
        <w:t xml:space="preserve"> από το 1998 έως σήμερα. Οι δύο σειρές παρουσιάζουν αξιοσημείωτο βαθμό συν-κίνησης σε όλο το δείγμα. Και οι δύο αυξήθηκαν κατά τη διάρκεια της παγκόσμιας έκρηξης των εμπορευμάτων στα μέσα της δεκαετίας του 2000, κορυφώθηκαν απότομα γύρω στο </w:t>
      </w:r>
      <w:r w:rsidRPr="000D2EDD">
        <w:rPr>
          <w:rFonts w:ascii="Roboto" w:eastAsia="Times New Roman" w:hAnsi="Roboto" w:cs="Times New Roman"/>
          <w:color w:val="333333"/>
          <w:kern w:val="0"/>
          <w:lang w:val="el-GR"/>
          <w14:ligatures w14:val="none"/>
        </w:rPr>
        <w:lastRenderedPageBreak/>
        <w:t>2008, κατέρρευσαν κατά τη διάρκεια της παγκόσμιας χρηματοπιστωτικής κρίσης, ανέκαμψαν στις αρχές της δεκαετίας του 2010 και αυξήθηκαν ξανά το 2022.</w:t>
      </w:r>
    </w:p>
    <w:p w14:paraId="4279A76E" w14:textId="77777777" w:rsidR="000D2EDD" w:rsidRDefault="000D2EDD" w:rsidP="000D2EDD">
      <w:pPr>
        <w:shd w:val="clear" w:color="auto" w:fill="FFFFFF"/>
        <w:spacing w:after="100" w:afterAutospacing="1" w:line="240" w:lineRule="auto"/>
        <w:rPr>
          <w:rFonts w:ascii="Roboto" w:eastAsia="Times New Roman" w:hAnsi="Roboto" w:cs="Times New Roman"/>
          <w:color w:val="333333"/>
          <w:kern w:val="0"/>
          <w14:ligatures w14:val="none"/>
        </w:rPr>
      </w:pPr>
      <w:r w:rsidRPr="000D2EDD">
        <w:rPr>
          <w:rFonts w:ascii="Roboto" w:eastAsia="Times New Roman" w:hAnsi="Roboto" w:cs="Times New Roman"/>
          <w:color w:val="333333"/>
          <w:kern w:val="0"/>
          <w:lang w:val="el-GR"/>
          <w14:ligatures w14:val="none"/>
        </w:rPr>
        <w:t>Αυτή η συν-κίνηση συνάδει με το γεγονός ότι το πετρέλαιο αποτελεί εισροή σε πολλαπλά στάδια της γεωργικής παραγωγής και διανομής, συμπεριλαμβανομένου του αγροτικού εξοπλισμού, της παραγωγής λιπασμάτων, της μεταφοράς και της ψύξης. Στο βαθμό που το ενεργειακό κόστος μετακυλίεται μέσω της αλυσίδας εφοδιασμού, θα περίμενε κανείς ότι οι τιμές των τροφίμων θα ανταποκρίνονται στις κινήσεις των τιμών του πετρελαίου. Ταυτόχρονα, η σχέση πιθανότατα δεν είναι</w:t>
      </w:r>
      <w:r w:rsidRPr="000D2EDD">
        <w:rPr>
          <w:rFonts w:ascii="Roboto" w:eastAsia="Times New Roman" w:hAnsi="Roboto" w:cs="Times New Roman"/>
          <w:color w:val="333333"/>
          <w:kern w:val="0"/>
          <w14:ligatures w14:val="none"/>
        </w:rPr>
        <w:t> </w:t>
      </w:r>
      <w:r w:rsidRPr="000D2EDD">
        <w:rPr>
          <w:rFonts w:ascii="Roboto" w:eastAsia="Times New Roman" w:hAnsi="Roboto" w:cs="Times New Roman"/>
          <w:i/>
          <w:iCs/>
          <w:color w:val="333333"/>
          <w:kern w:val="0"/>
          <w:lang w:val="el-GR"/>
          <w14:ligatures w14:val="none"/>
        </w:rPr>
        <w:t>μονής κατεύθυνσης</w:t>
      </w:r>
      <w:r w:rsidRPr="000D2EDD">
        <w:rPr>
          <w:rFonts w:ascii="Roboto" w:eastAsia="Times New Roman" w:hAnsi="Roboto" w:cs="Times New Roman"/>
          <w:color w:val="333333"/>
          <w:kern w:val="0"/>
          <w:lang w:val="el-GR"/>
          <w14:ligatures w14:val="none"/>
        </w:rPr>
        <w:t>. Οι ευρείες μακροοικονομικές συνθήκες (ύφεση, ανάκαμψη, γεωπολιτικοί κραδασμοί) μπορούν να οδηγήσουν και τις δύο σειρές ταυτόχρονα, καθιστώντας δύσκολο να αποδοθούν οι κινήσεις της μιας σειράς αποκλειστικά στις κινήσεις της άλλης.</w:t>
      </w:r>
    </w:p>
    <w:p w14:paraId="67257D83" w14:textId="21BE1168"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14:ligatures w14:val="none"/>
        </w:rPr>
      </w:pPr>
      <w:r w:rsidRPr="000D2EDD">
        <w:rPr>
          <w:rFonts w:ascii="Roboto" w:eastAsia="Times New Roman" w:hAnsi="Roboto" w:cs="Times New Roman"/>
          <w:color w:val="333333"/>
          <w:kern w:val="0"/>
          <w14:ligatures w14:val="none"/>
        </w:rPr>
        <w:drawing>
          <wp:inline distT="0" distB="0" distL="0" distR="0" wp14:anchorId="13AE8459" wp14:editId="438C69E6">
            <wp:extent cx="5943600" cy="3386455"/>
            <wp:effectExtent l="0" t="0" r="0" b="4445"/>
            <wp:docPr id="1114979036" name="FRED Graph Chart" descr="FRED Graph">
              <a:hlinkClick xmlns:a="http://schemas.openxmlformats.org/drawingml/2006/main" r:id="rId9" tooltip="View this chart in your browser.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D Graph Chart" descr="FRED Graph">
                      <a:hlinkClick r:id="rId9" tooltip="View this chart in your browser. "/>
                    </pic:cNvPr>
                    <pic:cNvPicPr>
                      <a:picLocks noChangeAspect="1"/>
                    </pic:cNvPicPr>
                  </pic:nvPicPr>
                  <pic:blipFill>
                    <a:blip r:embed="rId10"/>
                    <a:stretch>
                      <a:fillRect/>
                    </a:stretch>
                  </pic:blipFill>
                  <pic:spPr>
                    <a:xfrm>
                      <a:off x="0" y="0"/>
                      <a:ext cx="5943600" cy="3386455"/>
                    </a:xfrm>
                    <a:prstGeom prst="rect">
                      <a:avLst/>
                    </a:prstGeom>
                  </pic:spPr>
                </pic:pic>
              </a:graphicData>
            </a:graphic>
          </wp:inline>
        </w:drawing>
      </w:r>
    </w:p>
    <w:p w14:paraId="5018FB41"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b/>
          <w:bCs/>
          <w:color w:val="333333"/>
          <w:kern w:val="0"/>
          <w:lang w:val="el-GR"/>
          <w14:ligatures w14:val="none"/>
        </w:rPr>
        <w:t>Πετρέλαιο και πληθωρισμός τιμών καταναλωτή</w:t>
      </w:r>
    </w:p>
    <w:p w14:paraId="696BD3B6"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color w:val="333333"/>
          <w:kern w:val="0"/>
          <w:lang w:val="el-GR"/>
          <w14:ligatures w14:val="none"/>
        </w:rPr>
        <w:t xml:space="preserve">Το δεύτερο γράφημα </w:t>
      </w:r>
      <w:r w:rsidRPr="000D2EDD">
        <w:rPr>
          <w:rFonts w:ascii="Roboto" w:eastAsia="Times New Roman" w:hAnsi="Roboto" w:cs="Times New Roman"/>
          <w:color w:val="333333"/>
          <w:kern w:val="0"/>
          <w14:ligatures w14:val="none"/>
        </w:rPr>
        <w:t>FRED</w:t>
      </w:r>
      <w:r w:rsidRPr="000D2EDD">
        <w:rPr>
          <w:rFonts w:ascii="Roboto" w:eastAsia="Times New Roman" w:hAnsi="Roboto" w:cs="Times New Roman"/>
          <w:color w:val="333333"/>
          <w:kern w:val="0"/>
          <w:lang w:val="el-GR"/>
          <w14:ligatures w14:val="none"/>
        </w:rPr>
        <w:t xml:space="preserve">, παραπάνω, έχει μια πιο μακροπρόθεσμη άποψη, απεικονίζοντας τις ετήσιες ποσοστιαίες μεταβολές στις τιμές του αργού πετρελαίου </w:t>
      </w:r>
      <w:r w:rsidRPr="000D2EDD">
        <w:rPr>
          <w:rFonts w:ascii="Roboto" w:eastAsia="Times New Roman" w:hAnsi="Roboto" w:cs="Times New Roman"/>
          <w:color w:val="333333"/>
          <w:kern w:val="0"/>
          <w14:ligatures w14:val="none"/>
        </w:rPr>
        <w:t>Brent</w:t>
      </w:r>
      <w:r w:rsidRPr="000D2EDD">
        <w:rPr>
          <w:rFonts w:ascii="Roboto" w:eastAsia="Times New Roman" w:hAnsi="Roboto" w:cs="Times New Roman"/>
          <w:color w:val="333333"/>
          <w:kern w:val="0"/>
          <w:lang w:val="el-GR"/>
          <w14:ligatures w14:val="none"/>
        </w:rPr>
        <w:t xml:space="preserve"> έναντι του παγκόσμιου πληθωρισμού των τιμών καταναλωτή από τα τέλη της δεκαετίας του 1980 έως σήμερα. Κάποια συν-κίνηση είναι εμφανής σε πολλά επεισόδια: Οι απότομες εξαρθρώσεις του 2008-2009, η πτώση της τιμής του πετρελαίου το 2014-2016, η κατάρρευση που σχετίζεται με τον </w:t>
      </w:r>
      <w:r w:rsidRPr="000D2EDD">
        <w:rPr>
          <w:rFonts w:ascii="Roboto" w:eastAsia="Times New Roman" w:hAnsi="Roboto" w:cs="Times New Roman"/>
          <w:color w:val="333333"/>
          <w:kern w:val="0"/>
          <w14:ligatures w14:val="none"/>
        </w:rPr>
        <w:t>COVID</w:t>
      </w:r>
      <w:r w:rsidRPr="000D2EDD">
        <w:rPr>
          <w:rFonts w:ascii="Roboto" w:eastAsia="Times New Roman" w:hAnsi="Roboto" w:cs="Times New Roman"/>
          <w:color w:val="333333"/>
          <w:kern w:val="0"/>
          <w:lang w:val="el-GR"/>
          <w14:ligatures w14:val="none"/>
        </w:rPr>
        <w:t xml:space="preserve"> του 2020 και </w:t>
      </w:r>
      <w:r w:rsidRPr="000D2EDD">
        <w:rPr>
          <w:rFonts w:ascii="Roboto" w:eastAsia="Times New Roman" w:hAnsi="Roboto" w:cs="Times New Roman"/>
          <w:color w:val="333333"/>
          <w:kern w:val="0"/>
          <w:lang w:val="el-GR"/>
          <w14:ligatures w14:val="none"/>
        </w:rPr>
        <w:lastRenderedPageBreak/>
        <w:t>η μεταπανδημική άνοδος του 2021-2022 έχουν όλα ορατά αντίστοιχα στον παγκόσμιο πληθωρισμό.</w:t>
      </w:r>
    </w:p>
    <w:p w14:paraId="68A5EAEB" w14:textId="6EB5F9FC"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color w:val="333333"/>
          <w:kern w:val="0"/>
          <w:lang w:val="el-GR"/>
          <w14:ligatures w14:val="none"/>
        </w:rPr>
        <w:t>Οι αλλαγές στις τιμές του πετρελαίου μπορεί να τροφοδοτήσουν τις τιμές καταναλωτή μέσω του κόστους ενέργειας και παραγωγής, αλλά η σχέση μπορεί επίσης να κινηθεί προς την άλλη κατεύθυνση: Οι ευρείες αλλαγές στην παγκόσμια ζήτηση επηρεάζουν τόσο την παραγωγή όσο και την κατανάλωση ενέργειας, ασκώντας ταυτόχρονα πίεση στις τιμές του πετρελαίου και στον πληθωρισμό. Οι γεωπολιτικές διαταραχές προσθέτουν ένα τρίτο κανάλι, όπου ένα κοινό σοκ κινεί και τις δύο σειρές ταυτόχρονα χωρίς σαφή κατεύθυνση αιτιότητας.</w:t>
      </w:r>
      <w:r w:rsidR="00511F63">
        <w:rPr>
          <w:rFonts w:ascii="Roboto" w:eastAsia="Times New Roman" w:hAnsi="Roboto" w:cs="Times New Roman"/>
          <w:color w:val="333333"/>
          <w:kern w:val="0"/>
          <w:lang w:val="el-GR"/>
          <w14:ligatures w14:val="none"/>
        </w:rPr>
        <w:t xml:space="preserve"> </w:t>
      </w:r>
    </w:p>
    <w:p w14:paraId="4032389A"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b/>
          <w:bCs/>
          <w:color w:val="333333"/>
          <w:kern w:val="0"/>
          <w:lang w:val="el-GR"/>
          <w14:ligatures w14:val="none"/>
        </w:rPr>
        <w:t>Τι δείχνουν τα δεδομένα</w:t>
      </w:r>
    </w:p>
    <w:p w14:paraId="61B22FC1"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color w:val="333333"/>
          <w:kern w:val="0"/>
          <w:lang w:val="el-GR"/>
          <w14:ligatures w14:val="none"/>
        </w:rPr>
        <w:t xml:space="preserve">Συνολικά, αυτά τα δύο γραφήματα υποδηλώνουν ότι οι μεγάλες και διαρκείς διακυμάνσεις των τιμών του πετρελαίου συνέπεσαν ιστορικά με αλλαγές τόσο στις τιμές των τροφίμων όσο και στον ευρύτερο πληθωρισμό καταναλωτή. Το επεισόδιο του 2022 είναι ένα σαφές παράδειγμα: το αργό </w:t>
      </w:r>
      <w:r w:rsidRPr="000D2EDD">
        <w:rPr>
          <w:rFonts w:ascii="Roboto" w:eastAsia="Times New Roman" w:hAnsi="Roboto" w:cs="Times New Roman"/>
          <w:color w:val="333333"/>
          <w:kern w:val="0"/>
          <w14:ligatures w14:val="none"/>
        </w:rPr>
        <w:t>Brent</w:t>
      </w:r>
      <w:r w:rsidRPr="000D2EDD">
        <w:rPr>
          <w:rFonts w:ascii="Roboto" w:eastAsia="Times New Roman" w:hAnsi="Roboto" w:cs="Times New Roman"/>
          <w:color w:val="333333"/>
          <w:kern w:val="0"/>
          <w:lang w:val="el-GR"/>
          <w14:ligatures w14:val="none"/>
        </w:rPr>
        <w:t xml:space="preserve"> εκτινάχθηκε πάνω από τα 120 δολάρια το βαρέλι μετά την εισβολή της Ρωσίας στην Ουκρανία, ο Παγκόσμιος Δείκτης Τιμών Τροφίμων έφτασε στο υψηλότερο επίπεδο του δείγματος και ο παγκόσμιος πληθωρισμός αυξήθηκε απότομα. Αν και αυτά τα ιστορικά μοτίβα δεν υποδηλώνουν ακριβή αιτιώδη σχέση, υποδηλώνουν ότι οι εξελίξεις στις αγορές πετρελαίου αποτελούν συχνά σημαντικό μήνυμα για ευρύτερες πιέσεις στις τιμές.</w:t>
      </w:r>
    </w:p>
    <w:p w14:paraId="0BDEE7B7" w14:textId="6E98E66D" w:rsidR="000D2EDD" w:rsidRDefault="000D2EDD" w:rsidP="000D2EDD">
      <w:pPr>
        <w:shd w:val="clear" w:color="auto" w:fill="FFFFFF"/>
        <w:spacing w:after="100" w:afterAutospacing="1" w:line="240" w:lineRule="auto"/>
        <w:rPr>
          <w:rFonts w:ascii="Roboto" w:eastAsia="Times New Roman" w:hAnsi="Roboto" w:cs="Times New Roman"/>
          <w:b/>
          <w:bCs/>
          <w:color w:val="333333"/>
          <w:kern w:val="0"/>
          <w14:ligatures w14:val="none"/>
        </w:rPr>
      </w:pPr>
      <w:r>
        <w:rPr>
          <w:rFonts w:ascii="Roboto" w:eastAsia="Times New Roman" w:hAnsi="Roboto" w:cs="Times New Roman"/>
          <w:b/>
          <w:bCs/>
          <w:color w:val="333333"/>
          <w:kern w:val="0"/>
          <w14:ligatures w14:val="none"/>
        </w:rPr>
        <w:t xml:space="preserve">For online study please visit: </w:t>
      </w:r>
      <w:hyperlink r:id="rId11" w:history="1">
        <w:r w:rsidRPr="00366A68">
          <w:rPr>
            <w:rStyle w:val="Hyperlink"/>
            <w:rFonts w:ascii="Roboto" w:eastAsia="Times New Roman" w:hAnsi="Roboto" w:cs="Times New Roman"/>
            <w:b/>
            <w:bCs/>
            <w:kern w:val="0"/>
            <w14:ligatures w14:val="none"/>
          </w:rPr>
          <w:t>https://fredblog.stlouisfed.org/2026/03/the-relationship-among-pil-prices-food-costs-and-consumer-inflation/?utm_source=econres&amp;utm_medium=email&amp;utm_campaign=apr26&amp;utm_content=2&amp;utm_source=Federal+Reserve+Bank+of+St.+Louis+Publications&amp;utm_campaign=b57fff38c3-EMAIL_CAMPAIGN_2026_03_31_04_20&amp;utm_medium=email&amp;utm_term=0_-b57fff38c3-297520125</w:t>
        </w:r>
      </w:hyperlink>
    </w:p>
    <w:p w14:paraId="6BB386D7"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14:ligatures w14:val="none"/>
        </w:rPr>
      </w:pPr>
    </w:p>
    <w:p w14:paraId="016C20D7" w14:textId="77777777" w:rsidR="000D2EDD" w:rsidRPr="000D2EDD" w:rsidRDefault="000D2EDD" w:rsidP="000D2EDD">
      <w:pPr>
        <w:shd w:val="clear" w:color="auto" w:fill="FFFFFF"/>
        <w:spacing w:after="100" w:afterAutospacing="1"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color w:val="333333"/>
          <w:kern w:val="0"/>
          <w:lang w:val="el-GR"/>
          <w14:ligatures w14:val="none"/>
        </w:rPr>
        <w:t>Προτείνεται από τον</w:t>
      </w:r>
      <w:r w:rsidRPr="000D2EDD">
        <w:rPr>
          <w:rFonts w:ascii="Roboto" w:eastAsia="Times New Roman" w:hAnsi="Roboto" w:cs="Times New Roman"/>
          <w:color w:val="333333"/>
          <w:kern w:val="0"/>
          <w14:ligatures w14:val="none"/>
        </w:rPr>
        <w:t> </w:t>
      </w:r>
      <w:hyperlink r:id="rId12" w:history="1">
        <w:r w:rsidRPr="000D2EDD">
          <w:rPr>
            <w:rFonts w:ascii="Roboto" w:eastAsia="Times New Roman" w:hAnsi="Roboto" w:cs="Times New Roman"/>
            <w:color w:val="0066CC"/>
            <w:kern w:val="0"/>
            <w:u w:val="single"/>
            <w14:ligatures w14:val="none"/>
          </w:rPr>
          <w:t>Fernando</w:t>
        </w:r>
        <w:r w:rsidRPr="000D2EDD">
          <w:rPr>
            <w:rFonts w:ascii="Roboto" w:eastAsia="Times New Roman" w:hAnsi="Roboto" w:cs="Times New Roman"/>
            <w:color w:val="0066CC"/>
            <w:kern w:val="0"/>
            <w:u w:val="single"/>
            <w:lang w:val="el-GR"/>
            <w14:ligatures w14:val="none"/>
          </w:rPr>
          <w:t xml:space="preserve"> </w:t>
        </w:r>
        <w:r w:rsidRPr="000D2EDD">
          <w:rPr>
            <w:rFonts w:ascii="Roboto" w:eastAsia="Times New Roman" w:hAnsi="Roboto" w:cs="Times New Roman"/>
            <w:color w:val="0066CC"/>
            <w:kern w:val="0"/>
            <w:u w:val="single"/>
            <w14:ligatures w14:val="none"/>
          </w:rPr>
          <w:t>Leibovici</w:t>
        </w:r>
      </w:hyperlink>
      <w:r w:rsidRPr="000D2EDD">
        <w:rPr>
          <w:rFonts w:ascii="Roboto" w:eastAsia="Times New Roman" w:hAnsi="Roboto" w:cs="Times New Roman"/>
          <w:color w:val="333333"/>
          <w:kern w:val="0"/>
          <w:lang w:val="el-GR"/>
          <w14:ligatures w14:val="none"/>
        </w:rPr>
        <w:t>.</w:t>
      </w:r>
    </w:p>
    <w:p w14:paraId="2C3484EA" w14:textId="77777777" w:rsidR="000D2EDD" w:rsidRPr="000D2EDD" w:rsidRDefault="000D2EDD" w:rsidP="000D2EDD">
      <w:pPr>
        <w:shd w:val="clear" w:color="auto" w:fill="FFFFFF"/>
        <w:spacing w:after="0" w:line="240" w:lineRule="auto"/>
        <w:rPr>
          <w:rFonts w:ascii="Roboto" w:eastAsia="Times New Roman" w:hAnsi="Roboto" w:cs="Times New Roman"/>
          <w:color w:val="333333"/>
          <w:kern w:val="0"/>
          <w:lang w:val="el-GR"/>
          <w14:ligatures w14:val="none"/>
        </w:rPr>
      </w:pPr>
      <w:r w:rsidRPr="000D2EDD">
        <w:rPr>
          <w:rFonts w:ascii="Roboto" w:eastAsia="Times New Roman" w:hAnsi="Roboto" w:cs="Times New Roman"/>
          <w:color w:val="333333"/>
          <w:kern w:val="0"/>
          <w:lang w:val="el-GR"/>
          <w14:ligatures w14:val="none"/>
        </w:rPr>
        <w:br w:type="textWrapping" w:clear="all"/>
      </w:r>
    </w:p>
    <w:p w14:paraId="37CFEE1A" w14:textId="7B1F83D1" w:rsidR="000D2EDD" w:rsidRPr="000D2EDD" w:rsidRDefault="000D2EDD" w:rsidP="000D2EDD">
      <w:pPr>
        <w:shd w:val="clear" w:color="auto" w:fill="FFFFFF"/>
        <w:spacing w:after="0" w:line="240" w:lineRule="auto"/>
        <w:rPr>
          <w:rFonts w:ascii="Roboto" w:eastAsia="Times New Roman" w:hAnsi="Roboto" w:cs="Times New Roman"/>
          <w:color w:val="FFFFFF"/>
          <w:kern w:val="0"/>
          <w14:ligatures w14:val="none"/>
        </w:rPr>
      </w:pPr>
      <w:r w:rsidRPr="000D2EDD">
        <w:rPr>
          <w:rFonts w:ascii="Roboto" w:eastAsia="Times New Roman" w:hAnsi="Roboto" w:cs="Times New Roman"/>
          <w:color w:val="333333"/>
          <w:kern w:val="0"/>
          <w:lang w:val="el-GR"/>
          <w14:ligatures w14:val="none"/>
        </w:rPr>
        <w:br w:type="textWrapping" w:clear="all"/>
      </w:r>
    </w:p>
    <w:p w14:paraId="28AB9A69" w14:textId="77777777" w:rsidR="008E449A" w:rsidRDefault="008E449A"/>
    <w:sectPr w:rsidR="008E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panose1 w:val="02000000000000000000"/>
    <w:charset w:val="00"/>
    <w:family w:val="auto"/>
    <w:pitch w:val="variable"/>
    <w:sig w:usb0="E00002E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3985"/>
    <w:multiLevelType w:val="multilevel"/>
    <w:tmpl w:val="D034EC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71313"/>
    <w:multiLevelType w:val="multilevel"/>
    <w:tmpl w:val="CE5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422C5"/>
    <w:multiLevelType w:val="multilevel"/>
    <w:tmpl w:val="4D24B7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685A1F"/>
    <w:multiLevelType w:val="multilevel"/>
    <w:tmpl w:val="3806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9E2074"/>
    <w:multiLevelType w:val="multilevel"/>
    <w:tmpl w:val="50E27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2624098">
    <w:abstractNumId w:val="1"/>
  </w:num>
  <w:num w:numId="2" w16cid:durableId="661860988">
    <w:abstractNumId w:val="3"/>
  </w:num>
  <w:num w:numId="3" w16cid:durableId="1819687573">
    <w:abstractNumId w:val="0"/>
  </w:num>
  <w:num w:numId="4" w16cid:durableId="1255673294">
    <w:abstractNumId w:val="2"/>
  </w:num>
  <w:num w:numId="5" w16cid:durableId="1491486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DD"/>
    <w:rsid w:val="000D2EDD"/>
    <w:rsid w:val="000E5BAC"/>
    <w:rsid w:val="001A58B3"/>
    <w:rsid w:val="001E4362"/>
    <w:rsid w:val="002D097E"/>
    <w:rsid w:val="00455E0A"/>
    <w:rsid w:val="00511F63"/>
    <w:rsid w:val="007644FC"/>
    <w:rsid w:val="008E449A"/>
    <w:rsid w:val="00B258DA"/>
    <w:rsid w:val="00BC350B"/>
    <w:rsid w:val="00BD7BE5"/>
    <w:rsid w:val="00F74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ED8D"/>
  <w15:chartTrackingRefBased/>
  <w15:docId w15:val="{08371255-57A6-4925-B045-74530482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E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2E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D2E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2E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2E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2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E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2E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D2E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2E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2E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2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EDD"/>
    <w:rPr>
      <w:rFonts w:eastAsiaTheme="majorEastAsia" w:cstheme="majorBidi"/>
      <w:color w:val="272727" w:themeColor="text1" w:themeTint="D8"/>
    </w:rPr>
  </w:style>
  <w:style w:type="paragraph" w:styleId="Title">
    <w:name w:val="Title"/>
    <w:basedOn w:val="Normal"/>
    <w:next w:val="Normal"/>
    <w:link w:val="TitleChar"/>
    <w:uiPriority w:val="10"/>
    <w:qFormat/>
    <w:rsid w:val="000D2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EDD"/>
    <w:pPr>
      <w:spacing w:before="160"/>
      <w:jc w:val="center"/>
    </w:pPr>
    <w:rPr>
      <w:i/>
      <w:iCs/>
      <w:color w:val="404040" w:themeColor="text1" w:themeTint="BF"/>
    </w:rPr>
  </w:style>
  <w:style w:type="character" w:customStyle="1" w:styleId="QuoteChar">
    <w:name w:val="Quote Char"/>
    <w:basedOn w:val="DefaultParagraphFont"/>
    <w:link w:val="Quote"/>
    <w:uiPriority w:val="29"/>
    <w:rsid w:val="000D2EDD"/>
    <w:rPr>
      <w:i/>
      <w:iCs/>
      <w:color w:val="404040" w:themeColor="text1" w:themeTint="BF"/>
    </w:rPr>
  </w:style>
  <w:style w:type="paragraph" w:styleId="ListParagraph">
    <w:name w:val="List Paragraph"/>
    <w:basedOn w:val="Normal"/>
    <w:uiPriority w:val="34"/>
    <w:qFormat/>
    <w:rsid w:val="000D2EDD"/>
    <w:pPr>
      <w:ind w:left="720"/>
      <w:contextualSpacing/>
    </w:pPr>
  </w:style>
  <w:style w:type="character" w:styleId="IntenseEmphasis">
    <w:name w:val="Intense Emphasis"/>
    <w:basedOn w:val="DefaultParagraphFont"/>
    <w:uiPriority w:val="21"/>
    <w:qFormat/>
    <w:rsid w:val="000D2EDD"/>
    <w:rPr>
      <w:i/>
      <w:iCs/>
      <w:color w:val="2F5496" w:themeColor="accent1" w:themeShade="BF"/>
    </w:rPr>
  </w:style>
  <w:style w:type="paragraph" w:styleId="IntenseQuote">
    <w:name w:val="Intense Quote"/>
    <w:basedOn w:val="Normal"/>
    <w:next w:val="Normal"/>
    <w:link w:val="IntenseQuoteChar"/>
    <w:uiPriority w:val="30"/>
    <w:qFormat/>
    <w:rsid w:val="000D2E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2EDD"/>
    <w:rPr>
      <w:i/>
      <w:iCs/>
      <w:color w:val="2F5496" w:themeColor="accent1" w:themeShade="BF"/>
    </w:rPr>
  </w:style>
  <w:style w:type="character" w:styleId="IntenseReference">
    <w:name w:val="Intense Reference"/>
    <w:basedOn w:val="DefaultParagraphFont"/>
    <w:uiPriority w:val="32"/>
    <w:qFormat/>
    <w:rsid w:val="000D2EDD"/>
    <w:rPr>
      <w:b/>
      <w:bCs/>
      <w:smallCaps/>
      <w:color w:val="2F5496" w:themeColor="accent1" w:themeShade="BF"/>
      <w:spacing w:val="5"/>
    </w:rPr>
  </w:style>
  <w:style w:type="character" w:styleId="Hyperlink">
    <w:name w:val="Hyperlink"/>
    <w:basedOn w:val="DefaultParagraphFont"/>
    <w:uiPriority w:val="99"/>
    <w:unhideWhenUsed/>
    <w:rsid w:val="000D2EDD"/>
    <w:rPr>
      <w:color w:val="0000FF"/>
      <w:u w:val="single"/>
    </w:rPr>
  </w:style>
  <w:style w:type="paragraph" w:customStyle="1" w:styleId="blueheader-navbar-item">
    <w:name w:val="blueheader-navbar-item"/>
    <w:basedOn w:val="Normal"/>
    <w:rsid w:val="000D2ED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li-subheader">
    <w:name w:val="nav-li-subheader"/>
    <w:basedOn w:val="Normal"/>
    <w:rsid w:val="000D2ED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ub-header-nav-tools-gtm">
    <w:name w:val="sub-header-nav-tools-gtm"/>
    <w:basedOn w:val="DefaultParagraphFont"/>
    <w:rsid w:val="000D2EDD"/>
  </w:style>
  <w:style w:type="character" w:customStyle="1" w:styleId="subheader-nav-about-gtm">
    <w:name w:val="subheader-nav-about-gtm"/>
    <w:basedOn w:val="DefaultParagraphFont"/>
    <w:rsid w:val="000D2EDD"/>
  </w:style>
  <w:style w:type="paragraph" w:styleId="z-TopofForm">
    <w:name w:val="HTML Top of Form"/>
    <w:basedOn w:val="Normal"/>
    <w:next w:val="Normal"/>
    <w:link w:val="z-TopofFormChar"/>
    <w:hidden/>
    <w:uiPriority w:val="99"/>
    <w:semiHidden/>
    <w:unhideWhenUsed/>
    <w:rsid w:val="000D2EDD"/>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D2EDD"/>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0D2EDD"/>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D2EDD"/>
    <w:rPr>
      <w:rFonts w:ascii="Arial" w:eastAsia="Times New Roman" w:hAnsi="Arial" w:cs="Arial"/>
      <w:vanish/>
      <w:kern w:val="0"/>
      <w:sz w:val="16"/>
      <w:szCs w:val="16"/>
      <w14:ligatures w14:val="none"/>
    </w:rPr>
  </w:style>
  <w:style w:type="character" w:customStyle="1" w:styleId="meta-prep">
    <w:name w:val="meta-prep"/>
    <w:basedOn w:val="DefaultParagraphFont"/>
    <w:rsid w:val="000D2EDD"/>
  </w:style>
  <w:style w:type="paragraph" w:styleId="NormalWeb">
    <w:name w:val="Normal (Web)"/>
    <w:basedOn w:val="Normal"/>
    <w:uiPriority w:val="99"/>
    <w:semiHidden/>
    <w:unhideWhenUsed/>
    <w:rsid w:val="000D2ED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D2EDD"/>
    <w:rPr>
      <w:b/>
      <w:bCs/>
    </w:rPr>
  </w:style>
  <w:style w:type="character" w:styleId="Emphasis">
    <w:name w:val="Emphasis"/>
    <w:basedOn w:val="DefaultParagraphFont"/>
    <w:uiPriority w:val="20"/>
    <w:qFormat/>
    <w:rsid w:val="000D2EDD"/>
    <w:rPr>
      <w:i/>
      <w:iCs/>
    </w:rPr>
  </w:style>
  <w:style w:type="character" w:customStyle="1" w:styleId="icon-container">
    <w:name w:val="icon-container"/>
    <w:basedOn w:val="DefaultParagraphFont"/>
    <w:rsid w:val="000D2EDD"/>
  </w:style>
  <w:style w:type="character" w:customStyle="1" w:styleId="fa-sr-only">
    <w:name w:val="fa-sr-only"/>
    <w:basedOn w:val="DefaultParagraphFont"/>
    <w:rsid w:val="000D2EDD"/>
  </w:style>
  <w:style w:type="character" w:styleId="UnresolvedMention">
    <w:name w:val="Unresolved Mention"/>
    <w:basedOn w:val="DefaultParagraphFont"/>
    <w:uiPriority w:val="99"/>
    <w:semiHidden/>
    <w:unhideWhenUsed/>
    <w:rsid w:val="000D2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ed.stlouisfed.org/graph/?g=1Upxs" TargetMode="External"/><Relationship Id="rId12" Type="http://schemas.openxmlformats.org/officeDocument/2006/relationships/hyperlink" Target="https://www.stlouisfed.org/research/economists/leibovi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edblog.stlouisfed.org/2026/03/the-relationship-among-pil-prices-food-costs-and-consumer-inflation/" TargetMode="External"/><Relationship Id="rId11" Type="http://schemas.openxmlformats.org/officeDocument/2006/relationships/hyperlink" Target="https://fredblog.stlouisfed.org/2026/03/the-relationship-among-pil-prices-food-costs-and-consumer-inflation/?utm_source=econres&amp;utm_medium=email&amp;utm_campaign=apr26&amp;utm_content=2&amp;utm_source=Federal+Reserve+Bank+of+St.+Louis+Publications&amp;utm_campaign=b57fff38c3-EMAIL_CAMPAIGN_2026_03_31_04_20&amp;utm_medium=email&amp;utm_term=0_-b57fff38c3-297520125" TargetMode="External"/><Relationship Id="rId5" Type="http://schemas.openxmlformats.org/officeDocument/2006/relationships/hyperlink" Target="https://fredblog.stlouisfed.org/2026/03/the-relationship-among-pil-prices-food-costs-and-consumer-inflation/" TargetMode="Externa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fred.stlouisfed.org/graph/?g=1Upx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2</cp:revision>
  <dcterms:created xsi:type="dcterms:W3CDTF">2026-04-03T05:41:00Z</dcterms:created>
  <dcterms:modified xsi:type="dcterms:W3CDTF">2026-04-03T05:41:00Z</dcterms:modified>
</cp:coreProperties>
</file>