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2F428" w14:textId="77777777" w:rsidR="000F61A1" w:rsidRPr="00BE7097" w:rsidRDefault="00000000">
      <w:pPr>
        <w:spacing w:after="60"/>
        <w:jc w:val="center"/>
        <w:rPr>
          <w:lang w:val="el-GR"/>
        </w:rPr>
      </w:pPr>
      <w:r w:rsidRPr="00BE7097">
        <w:rPr>
          <w:b/>
          <w:bCs/>
          <w:color w:val="1F4E79"/>
          <w:sz w:val="30"/>
          <w:szCs w:val="30"/>
          <w:lang w:val="el-GR"/>
        </w:rPr>
        <w:t>ΟΙΚΟΝΟΜΙΚΗ ΤΩΝ ΕΠΙΧΕΙΡΗΣΕΩΝ (</w:t>
      </w:r>
      <w:r>
        <w:rPr>
          <w:b/>
          <w:bCs/>
          <w:color w:val="1F4E79"/>
          <w:sz w:val="30"/>
          <w:szCs w:val="30"/>
        </w:rPr>
        <w:t>MANAGERIAL</w:t>
      </w:r>
      <w:r w:rsidRPr="00BE7097">
        <w:rPr>
          <w:b/>
          <w:bCs/>
          <w:color w:val="1F4E79"/>
          <w:sz w:val="30"/>
          <w:szCs w:val="30"/>
          <w:lang w:val="el-GR"/>
        </w:rPr>
        <w:t xml:space="preserve"> </w:t>
      </w:r>
      <w:r>
        <w:rPr>
          <w:b/>
          <w:bCs/>
          <w:color w:val="1F4E79"/>
          <w:sz w:val="30"/>
          <w:szCs w:val="30"/>
        </w:rPr>
        <w:t>ECONOMICS</w:t>
      </w:r>
      <w:r w:rsidRPr="00BE7097">
        <w:rPr>
          <w:b/>
          <w:bCs/>
          <w:color w:val="1F4E79"/>
          <w:sz w:val="30"/>
          <w:szCs w:val="30"/>
          <w:lang w:val="el-GR"/>
        </w:rPr>
        <w:t>)</w:t>
      </w:r>
    </w:p>
    <w:p w14:paraId="2E2D98C5" w14:textId="77777777" w:rsidR="000F61A1" w:rsidRPr="005B0A3C" w:rsidRDefault="00000000">
      <w:pPr>
        <w:spacing w:after="40"/>
        <w:jc w:val="center"/>
        <w:rPr>
          <w:lang w:val="el-GR"/>
        </w:rPr>
      </w:pPr>
      <w:r w:rsidRPr="00BE7097">
        <w:rPr>
          <w:b/>
          <w:bCs/>
          <w:lang w:val="el-GR"/>
        </w:rPr>
        <w:t xml:space="preserve">Τελική Διάλεξη (Ρέκβιεμ) — Υπάρχει Συνταγή Βιωσιμότητας &amp; Ανθεκτικότητας; </w:t>
      </w:r>
      <w:r w:rsidRPr="005B0A3C">
        <w:rPr>
          <w:b/>
          <w:bCs/>
          <w:lang w:val="el-GR"/>
        </w:rPr>
        <w:t xml:space="preserve">Συγκριτική Σύνθεση ΙΚΕΑ &amp; </w:t>
      </w:r>
      <w:r>
        <w:rPr>
          <w:b/>
          <w:bCs/>
        </w:rPr>
        <w:t>Inditex</w:t>
      </w:r>
      <w:r w:rsidRPr="005B0A3C">
        <w:rPr>
          <w:b/>
          <w:bCs/>
          <w:lang w:val="el-GR"/>
        </w:rPr>
        <w:t xml:space="preserve">, Σήματα Αγορών, </w:t>
      </w:r>
      <w:r>
        <w:rPr>
          <w:b/>
          <w:bCs/>
        </w:rPr>
        <w:t>Ratings</w:t>
      </w:r>
      <w:r w:rsidRPr="005B0A3C">
        <w:rPr>
          <w:b/>
          <w:bCs/>
          <w:lang w:val="el-GR"/>
        </w:rPr>
        <w:t xml:space="preserve"> &amp; Διαχείριση Κινδύνου · Τράπεζα Κριτικών Ερωτήσεων Πολλαπλής Επιλογής</w:t>
      </w:r>
    </w:p>
    <w:p w14:paraId="264A8952" w14:textId="77777777" w:rsidR="000F61A1" w:rsidRPr="00BE7097" w:rsidRDefault="00000000">
      <w:pPr>
        <w:pBdr>
          <w:bottom w:val="single" w:sz="12" w:space="6" w:color="1F4E79"/>
        </w:pBdr>
        <w:spacing w:after="240"/>
        <w:jc w:val="center"/>
        <w:rPr>
          <w:lang w:val="el-GR"/>
        </w:rPr>
      </w:pPr>
      <w:r w:rsidRPr="00BE7097">
        <w:rPr>
          <w:i/>
          <w:iCs/>
          <w:color w:val="555555"/>
          <w:lang w:val="el-GR"/>
        </w:rPr>
        <w:t>Διδάσκων: Δημήτρης Κάμπης · 15 Μαΐου 2026</w:t>
      </w:r>
    </w:p>
    <w:p w14:paraId="1482DAC5" w14:textId="77777777" w:rsidR="000F61A1" w:rsidRPr="00BE7097" w:rsidRDefault="00000000">
      <w:pPr>
        <w:spacing w:after="120"/>
        <w:rPr>
          <w:lang w:val="el-GR"/>
        </w:rPr>
      </w:pPr>
      <w:r w:rsidRPr="00BE7097">
        <w:rPr>
          <w:b/>
          <w:bCs/>
          <w:color w:val="1F4E79"/>
          <w:sz w:val="24"/>
          <w:szCs w:val="24"/>
          <w:lang w:val="el-GR"/>
        </w:rPr>
        <w:t>Σημείωμα σχεδιασμού</w:t>
      </w:r>
    </w:p>
    <w:p w14:paraId="7B0F7215" w14:textId="77777777" w:rsidR="000F61A1" w:rsidRPr="00BE7097" w:rsidRDefault="00000000">
      <w:pPr>
        <w:pStyle w:val="ListParagraph"/>
        <w:numPr>
          <w:ilvl w:val="0"/>
          <w:numId w:val="2"/>
        </w:numPr>
        <w:spacing w:after="80"/>
        <w:rPr>
          <w:lang w:val="el-GR"/>
        </w:rPr>
      </w:pPr>
      <w:r w:rsidRPr="00BE7097">
        <w:rPr>
          <w:lang w:val="el-GR"/>
        </w:rPr>
        <w:t>Καταληκτική (</w:t>
      </w:r>
      <w:r>
        <w:t>capstone</w:t>
      </w:r>
      <w:r w:rsidRPr="00BE7097">
        <w:rPr>
          <w:lang w:val="el-GR"/>
        </w:rPr>
        <w:t>) τράπεζα 11 ερωτήσεων πολλαπλής επιλογής, για γρήγορη βαθμολόγηση εντός των 2 ωρών. Ως «ρέκβιεμ» του μαθήματος, κάθε ερώτηση έχει ΕΚΤΕΝΕΣΤΕΡΟ «Διδακτικό σχόλιο» και μια ρητή ενότητα «Συσχέτιση με την ύλη» που τη συνδέει με προηγούμενες διαλέξεις.</w:t>
      </w:r>
    </w:p>
    <w:p w14:paraId="1A988A84" w14:textId="77777777" w:rsidR="000F61A1" w:rsidRPr="00BE7097" w:rsidRDefault="00000000">
      <w:pPr>
        <w:pStyle w:val="ListParagraph"/>
        <w:numPr>
          <w:ilvl w:val="0"/>
          <w:numId w:val="2"/>
        </w:numPr>
        <w:spacing w:after="80"/>
        <w:rPr>
          <w:lang w:val="el-GR"/>
        </w:rPr>
      </w:pPr>
      <w:r w:rsidRPr="00BE7097">
        <w:rPr>
          <w:lang w:val="el-GR"/>
        </w:rPr>
        <w:t>Αντλεί από το συνδυασμένο υλικό: ο πίνακας μακρο-σημάτων→διοικητικών αποφάσεων, οι ζωντανές περιπτώσεις (</w:t>
      </w:r>
      <w:r>
        <w:t>TUI</w:t>
      </w:r>
      <w:r w:rsidRPr="00BE7097">
        <w:rPr>
          <w:lang w:val="el-GR"/>
        </w:rPr>
        <w:t xml:space="preserve">, τιμές παραγωγού Ιαπωνίας/Ελλάδας, γερμανικές αποδόσεις, αναδίπλωση αγορών), η συγκριτική σύνθεση </w:t>
      </w:r>
      <w:r>
        <w:t>IKEA</w:t>
      </w:r>
      <w:r w:rsidRPr="00BE7097">
        <w:rPr>
          <w:lang w:val="el-GR"/>
        </w:rPr>
        <w:t xml:space="preserve"> &amp; </w:t>
      </w:r>
      <w:r>
        <w:t>Inditex</w:t>
      </w:r>
      <w:r w:rsidRPr="00BE7097">
        <w:rPr>
          <w:lang w:val="el-GR"/>
        </w:rPr>
        <w:t xml:space="preserve"> (πελατοκεντρικότητα, </w:t>
      </w:r>
      <w:r>
        <w:t>brand</w:t>
      </w:r>
      <w:r w:rsidRPr="00BE7097">
        <w:rPr>
          <w:lang w:val="el-GR"/>
        </w:rPr>
        <w:t xml:space="preserve"> </w:t>
      </w:r>
      <w:r>
        <w:t>equity</w:t>
      </w:r>
      <w:r w:rsidRPr="00BE7097">
        <w:rPr>
          <w:lang w:val="el-GR"/>
        </w:rPr>
        <w:t xml:space="preserve">, </w:t>
      </w:r>
      <w:r>
        <w:t>bottom</w:t>
      </w:r>
      <w:r w:rsidRPr="00BE7097">
        <w:rPr>
          <w:lang w:val="el-GR"/>
        </w:rPr>
        <w:t>-</w:t>
      </w:r>
      <w:r>
        <w:t>up</w:t>
      </w:r>
      <w:r w:rsidRPr="00BE7097">
        <w:rPr>
          <w:lang w:val="el-GR"/>
        </w:rPr>
        <w:t xml:space="preserve">, </w:t>
      </w:r>
      <w:r>
        <w:t>consumer</w:t>
      </w:r>
      <w:r w:rsidRPr="00BE7097">
        <w:rPr>
          <w:lang w:val="el-GR"/>
        </w:rPr>
        <w:t xml:space="preserve"> </w:t>
      </w:r>
      <w:r>
        <w:t>surplus</w:t>
      </w:r>
      <w:r w:rsidRPr="00BE7097">
        <w:rPr>
          <w:lang w:val="el-GR"/>
        </w:rPr>
        <w:t xml:space="preserve">, </w:t>
      </w:r>
      <w:r>
        <w:t>stakeholders</w:t>
      </w:r>
      <w:r w:rsidRPr="00BE7097">
        <w:rPr>
          <w:lang w:val="el-GR"/>
        </w:rPr>
        <w:t xml:space="preserve">), και το νέο τεχνικό υλικό για </w:t>
      </w:r>
      <w:r>
        <w:t>rating</w:t>
      </w:r>
      <w:r w:rsidRPr="00BE7097">
        <w:rPr>
          <w:lang w:val="el-GR"/>
        </w:rPr>
        <w:t xml:space="preserve"> </w:t>
      </w:r>
      <w:r>
        <w:t>agencies</w:t>
      </w:r>
      <w:r w:rsidRPr="00BE7097">
        <w:rPr>
          <w:lang w:val="el-GR"/>
        </w:rPr>
        <w:t xml:space="preserve">, κόστος κεφαλαίου και </w:t>
      </w:r>
      <w:r>
        <w:t>hedging</w:t>
      </w:r>
      <w:r w:rsidRPr="00BE7097">
        <w:rPr>
          <w:lang w:val="el-GR"/>
        </w:rPr>
        <w:t>/</w:t>
      </w:r>
      <w:r>
        <w:t>beta</w:t>
      </w:r>
      <w:r w:rsidRPr="00BE7097">
        <w:rPr>
          <w:lang w:val="el-GR"/>
        </w:rPr>
        <w:t>/</w:t>
      </w:r>
      <w:r>
        <w:t>risk</w:t>
      </w:r>
      <w:r w:rsidRPr="00BE7097">
        <w:rPr>
          <w:lang w:val="el-GR"/>
        </w:rPr>
        <w:t xml:space="preserve"> </w:t>
      </w:r>
      <w:r>
        <w:t>premium</w:t>
      </w:r>
      <w:r w:rsidRPr="00BE7097">
        <w:rPr>
          <w:lang w:val="el-GR"/>
        </w:rPr>
        <w:t>.</w:t>
      </w:r>
    </w:p>
    <w:p w14:paraId="6906993B" w14:textId="31B4BA97" w:rsidR="000F61A1" w:rsidRPr="00BE7097" w:rsidRDefault="00000000">
      <w:pPr>
        <w:pStyle w:val="ListParagraph"/>
        <w:numPr>
          <w:ilvl w:val="0"/>
          <w:numId w:val="2"/>
        </w:numPr>
        <w:spacing w:after="80"/>
        <w:rPr>
          <w:lang w:val="el-GR"/>
        </w:rPr>
      </w:pPr>
      <w:r w:rsidRPr="00BE7097">
        <w:rPr>
          <w:lang w:val="el-GR"/>
        </w:rPr>
        <w:t xml:space="preserve">Οι περισπασμοί κωδικοποιούν τις τυπικές παρανοήσεις (μέγεθος/κόστος ως μόνη λύση, </w:t>
      </w:r>
      <w:r>
        <w:t>beta</w:t>
      </w:r>
      <w:r w:rsidRPr="00BE7097">
        <w:rPr>
          <w:lang w:val="el-GR"/>
        </w:rPr>
        <w:t xml:space="preserve"> αντεστραμμένο, </w:t>
      </w:r>
      <w:r>
        <w:t>rating</w:t>
      </w:r>
      <w:r w:rsidRPr="00BE7097">
        <w:rPr>
          <w:lang w:val="el-GR"/>
        </w:rPr>
        <w:t xml:space="preserve"> ως πρόβλεψη τιμής, ενιαία «συνταγή»).</w:t>
      </w:r>
    </w:p>
    <w:p w14:paraId="3D315DE0" w14:textId="77777777" w:rsidR="000F61A1" w:rsidRPr="00BE7097" w:rsidRDefault="000F61A1">
      <w:pPr>
        <w:spacing w:after="160"/>
        <w:rPr>
          <w:lang w:val="el-GR"/>
        </w:rPr>
      </w:pPr>
    </w:p>
    <w:p w14:paraId="29EB345E" w14:textId="77777777" w:rsidR="000F61A1" w:rsidRPr="00BE7097" w:rsidRDefault="00000000">
      <w:pPr>
        <w:keepNext/>
        <w:spacing w:before="180" w:after="60"/>
        <w:rPr>
          <w:lang w:val="el-GR"/>
        </w:rPr>
      </w:pPr>
      <w:r w:rsidRPr="00BE7097">
        <w:rPr>
          <w:b/>
          <w:bCs/>
          <w:sz w:val="23"/>
          <w:szCs w:val="23"/>
          <w:lang w:val="el-GR"/>
        </w:rPr>
        <w:t xml:space="preserve">Ερώτηση 1. </w:t>
      </w:r>
      <w:r w:rsidRPr="00BE7097">
        <w:rPr>
          <w:sz w:val="23"/>
          <w:szCs w:val="23"/>
          <w:lang w:val="el-GR"/>
        </w:rPr>
        <w:t>Η τελική διάλεξη παραθέτει έναν πίνακα «δείκτης προηγούμενης διάλεξης → σημερινή ένδειξη αγοράς → επιχειρηματική σημασία». Ποια είναι η βαθύτερη μεθοδολογική ιδέα πίσω από αυτόν;</w:t>
      </w:r>
    </w:p>
    <w:p w14:paraId="3F44B365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Α) </w:t>
      </w:r>
      <w:r w:rsidRPr="00BE7097">
        <w:rPr>
          <w:lang w:val="el-GR"/>
        </w:rPr>
        <w:t>Ότι οι μακροδείκτες είναι ανεξάρτητα τετριμμένα νούμερα χωρίς συνέπειες για τις επιχειρήσεις.</w:t>
      </w:r>
    </w:p>
    <w:p w14:paraId="49A2FAD7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Β) </w:t>
      </w:r>
      <w:r w:rsidRPr="00BE7097">
        <w:rPr>
          <w:lang w:val="el-GR"/>
        </w:rPr>
        <w:t xml:space="preserve">Ότι ο μάνατζερ πρέπει να διαβάζει τους μακροοικονομικούς δείκτες (εμπιστοσύνη, </w:t>
      </w:r>
      <w:r>
        <w:t>PMI</w:t>
      </w:r>
      <w:r w:rsidRPr="00BE7097">
        <w:rPr>
          <w:lang w:val="el-GR"/>
        </w:rPr>
        <w:t xml:space="preserve">, πληθωρισμός, επιτόκια, </w:t>
      </w:r>
      <w:r>
        <w:t>FX</w:t>
      </w:r>
      <w:r w:rsidRPr="00BE7097">
        <w:rPr>
          <w:lang w:val="el-GR"/>
        </w:rPr>
        <w:t>, ενέργεια) ως διασυνδεδεμένα σήματα που μεταφράζονται σε συγκεκριμένους κινδύνους απόφασης — ζήτηση, κόστος, χρηματοδότηση, περιθώρια.</w:t>
      </w:r>
    </w:p>
    <w:p w14:paraId="0C7DD915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Γ) </w:t>
      </w:r>
      <w:r w:rsidRPr="00BE7097">
        <w:rPr>
          <w:lang w:val="el-GR"/>
        </w:rPr>
        <w:t>Ότι μόνο ο πληθωρισμός έχει σημασία και οι υπόλοιποι δείκτες αγνοούνται.</w:t>
      </w:r>
    </w:p>
    <w:p w14:paraId="52FDBF56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Δ) </w:t>
      </w:r>
      <w:r w:rsidRPr="00BE7097">
        <w:rPr>
          <w:lang w:val="el-GR"/>
        </w:rPr>
        <w:t>Ότι η ένδειξη της αγοράς καθορίζεται αποκλειστικά από την τύχη.</w:t>
      </w:r>
    </w:p>
    <w:p w14:paraId="6BA235BC" w14:textId="77777777" w:rsidR="000F61A1" w:rsidRPr="00BE7097" w:rsidRDefault="00000000">
      <w:pPr>
        <w:spacing w:before="60" w:after="30"/>
        <w:rPr>
          <w:lang w:val="el-GR"/>
        </w:rPr>
      </w:pPr>
      <w:r w:rsidRPr="00BE7097">
        <w:rPr>
          <w:b/>
          <w:bCs/>
          <w:color w:val="2E7D32"/>
          <w:lang w:val="el-GR"/>
        </w:rPr>
        <w:t>Ορθή απάντηση: Β</w:t>
      </w:r>
    </w:p>
    <w:p w14:paraId="48F451ED" w14:textId="77777777" w:rsidR="000F61A1" w:rsidRPr="00BE7097" w:rsidRDefault="00000000">
      <w:pPr>
        <w:spacing w:after="40"/>
        <w:rPr>
          <w:lang w:val="el-GR"/>
        </w:rPr>
      </w:pPr>
      <w:r w:rsidRPr="00BE7097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BE7097">
        <w:rPr>
          <w:i/>
          <w:iCs/>
          <w:color w:val="555555"/>
          <w:sz w:val="21"/>
          <w:szCs w:val="21"/>
          <w:lang w:val="el-GR"/>
        </w:rPr>
        <w:t>Ο πίνακας είναι, στην ουσία, ένας «μεταφραστής»: κάθε μακρο-σήμα γίνεται μικρο-απόφαση. Πτώση εμπιστοσύνης → αβεβαιότητα ζήτησης (</w:t>
      </w:r>
      <w:r>
        <w:rPr>
          <w:i/>
          <w:iCs/>
          <w:color w:val="555555"/>
          <w:sz w:val="21"/>
          <w:szCs w:val="21"/>
        </w:rPr>
        <w:t>TUI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)· διαταραχή </w:t>
      </w:r>
      <w:r>
        <w:rPr>
          <w:i/>
          <w:iCs/>
          <w:color w:val="555555"/>
          <w:sz w:val="21"/>
          <w:szCs w:val="21"/>
        </w:rPr>
        <w:t>PMI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/εφοδιαστικής → κίνδυνος ελλείψεων και </w:t>
      </w:r>
      <w:r>
        <w:rPr>
          <w:i/>
          <w:iCs/>
          <w:color w:val="555555"/>
          <w:sz w:val="21"/>
          <w:szCs w:val="21"/>
        </w:rPr>
        <w:t>stockpiling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· άνοδος τιμών παραγωγού (ΗΠΑ/Ιαπωνία) → πίεση περιθωρίων· γερμανικές αποδόσεις σε πολυετή υψηλά → ακριβότερη χρηματοδότηση· ισχυρό δολάριο/ασθενές γεν → συναλλαγματικός κίνδυνος· πετρέλαιο &gt;$140 και </w:t>
      </w:r>
      <w:r>
        <w:rPr>
          <w:i/>
          <w:iCs/>
          <w:color w:val="555555"/>
          <w:sz w:val="21"/>
          <w:szCs w:val="21"/>
        </w:rPr>
        <w:t>Hormuz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→ σοκ κόστους. Το ζητούμενο δεν είναι η απομνημόνευση των δεικτών αλλά η ικανότητα να τους διαβάζεις ως ένα διασυνδεδεμένο σύστημα που διαμορφώνει την απόφαση.</w:t>
      </w:r>
    </w:p>
    <w:p w14:paraId="5FF7C8D6" w14:textId="77777777" w:rsidR="000F61A1" w:rsidRPr="00BE7097" w:rsidRDefault="00000000">
      <w:pPr>
        <w:spacing w:after="110"/>
        <w:rPr>
          <w:lang w:val="el-GR"/>
        </w:rPr>
      </w:pPr>
      <w:r w:rsidRPr="00BE7097">
        <w:rPr>
          <w:b/>
          <w:bCs/>
          <w:i/>
          <w:iCs/>
          <w:color w:val="8A6D1F"/>
          <w:sz w:val="21"/>
          <w:szCs w:val="21"/>
          <w:lang w:val="el-GR"/>
        </w:rPr>
        <w:t xml:space="preserve">Συσχέτιση με την ύλη: 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Συνδέεται άμεσα με τη Διάλεξη 2 (επιτόκια, καμπύλη αποδόσεων), τη Διάλεξη 5 (νομισματική/δημοσιονομική πολιτική, αξιοπιστία) και τη Διάλεξη 8 (ονομαστικά </w:t>
      </w:r>
      <w:r>
        <w:rPr>
          <w:i/>
          <w:iCs/>
          <w:color w:val="8A6D1F"/>
          <w:sz w:val="21"/>
          <w:szCs w:val="21"/>
        </w:rPr>
        <w:t>vs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πραγματικά μεγέθη). Είναι επίσης η πρακτική εφαρμογή του πίνακα δεικτών της </w:t>
      </w:r>
      <w:r>
        <w:rPr>
          <w:i/>
          <w:iCs/>
          <w:color w:val="8A6D1F"/>
          <w:sz w:val="21"/>
          <w:szCs w:val="21"/>
        </w:rPr>
        <w:t>IKEA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(12μηνος προγραμματισμός παραγωγής): ο μάνατζερ διαβάζει ανάντη σήματα, όχι κατάντη παραγγελίες.</w:t>
      </w:r>
    </w:p>
    <w:p w14:paraId="3FE0AE7B" w14:textId="77777777" w:rsidR="000F61A1" w:rsidRPr="00BE7097" w:rsidRDefault="00000000">
      <w:pPr>
        <w:keepNext/>
        <w:spacing w:before="180" w:after="60"/>
        <w:rPr>
          <w:lang w:val="el-GR"/>
        </w:rPr>
      </w:pPr>
      <w:r w:rsidRPr="00BE7097">
        <w:rPr>
          <w:b/>
          <w:bCs/>
          <w:sz w:val="23"/>
          <w:szCs w:val="23"/>
          <w:lang w:val="el-GR"/>
        </w:rPr>
        <w:t xml:space="preserve">Ερώτηση 2. </w:t>
      </w:r>
      <w:r w:rsidRPr="00BE7097">
        <w:rPr>
          <w:sz w:val="23"/>
          <w:szCs w:val="23"/>
          <w:lang w:val="el-GR"/>
        </w:rPr>
        <w:t xml:space="preserve">Η περίπτωση </w:t>
      </w:r>
      <w:r>
        <w:rPr>
          <w:sz w:val="23"/>
          <w:szCs w:val="23"/>
        </w:rPr>
        <w:t>TUI</w:t>
      </w:r>
      <w:r w:rsidRPr="00BE7097">
        <w:rPr>
          <w:sz w:val="23"/>
          <w:szCs w:val="23"/>
          <w:lang w:val="el-GR"/>
        </w:rPr>
        <w:t xml:space="preserve"> (μείωση πρόβλεψης </w:t>
      </w:r>
      <w:r>
        <w:rPr>
          <w:sz w:val="23"/>
          <w:szCs w:val="23"/>
        </w:rPr>
        <w:t>FY</w:t>
      </w:r>
      <w:r w:rsidRPr="00BE7097">
        <w:rPr>
          <w:sz w:val="23"/>
          <w:szCs w:val="23"/>
          <w:lang w:val="el-GR"/>
        </w:rPr>
        <w:t>26, αναστολή καθοδήγησης εσόδων, πλοία εγκλωβισμένα στον Κόλπο, −7% θερινές κρατήσεις) χρησιμοποιείται ως ζωντανό παράδειγμα. Τι κυρίως αναδεικνύει;</w:t>
      </w:r>
    </w:p>
    <w:p w14:paraId="29927E60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Α) </w:t>
      </w:r>
      <w:r w:rsidRPr="00BE7097">
        <w:rPr>
          <w:lang w:val="el-GR"/>
        </w:rPr>
        <w:t>Ότι η γεωπολιτική δεν επηρεάζει τις επιχειρηματικές αποφάσεις.</w:t>
      </w:r>
    </w:p>
    <w:p w14:paraId="7406EC9B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lastRenderedPageBreak/>
        <w:t xml:space="preserve">Β) </w:t>
      </w:r>
      <w:r w:rsidRPr="00BE7097">
        <w:rPr>
          <w:lang w:val="el-GR"/>
        </w:rPr>
        <w:t>Ότι ένα σοκ εμπιστοσύνης/ζήτησης μεταφράζεται άμεσα σε αναβολή αγορών από τους καταναλωτές και σε αμυντικές αποφάσεις της διοίκησης υπό βαθιά αβεβαιότητα — ο πελάτης «παγώνει» και η εταιρεία προσαρμόζει καθοδήγηση, κόστη και ρευστότητα.</w:t>
      </w:r>
    </w:p>
    <w:p w14:paraId="48AFFE4E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Γ) </w:t>
      </w:r>
      <w:r w:rsidRPr="00BE7097">
        <w:rPr>
          <w:lang w:val="el-GR"/>
        </w:rPr>
        <w:t>Ότι οι κρατήσεις διακοπών είναι εντελώς ανελαστικές στη γεωπολιτική.</w:t>
      </w:r>
    </w:p>
    <w:p w14:paraId="22BBC3E4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Δ) </w:t>
      </w:r>
      <w:r w:rsidRPr="00BE7097">
        <w:rPr>
          <w:lang w:val="el-GR"/>
        </w:rPr>
        <w:t xml:space="preserve">Ότι η </w:t>
      </w:r>
      <w:r>
        <w:t>TUI</w:t>
      </w:r>
      <w:r w:rsidRPr="00BE7097">
        <w:rPr>
          <w:lang w:val="el-GR"/>
        </w:rPr>
        <w:t xml:space="preserve"> κέρδισε από τη σύγκρουση στο Ιράν.</w:t>
      </w:r>
    </w:p>
    <w:p w14:paraId="1856B53B" w14:textId="77777777" w:rsidR="000F61A1" w:rsidRPr="00BE7097" w:rsidRDefault="00000000">
      <w:pPr>
        <w:spacing w:before="60" w:after="30"/>
        <w:rPr>
          <w:lang w:val="el-GR"/>
        </w:rPr>
      </w:pPr>
      <w:r w:rsidRPr="00BE7097">
        <w:rPr>
          <w:b/>
          <w:bCs/>
          <w:color w:val="2E7D32"/>
          <w:lang w:val="el-GR"/>
        </w:rPr>
        <w:t>Ορθή απάντηση: Β</w:t>
      </w:r>
    </w:p>
    <w:p w14:paraId="51736323" w14:textId="77777777" w:rsidR="000F61A1" w:rsidRPr="00BE7097" w:rsidRDefault="00000000">
      <w:pPr>
        <w:spacing w:after="40"/>
        <w:rPr>
          <w:lang w:val="el-GR"/>
        </w:rPr>
      </w:pPr>
      <w:r w:rsidRPr="00BE7097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Η </w:t>
      </w:r>
      <w:r>
        <w:rPr>
          <w:i/>
          <w:iCs/>
          <w:color w:val="555555"/>
          <w:sz w:val="21"/>
          <w:szCs w:val="21"/>
        </w:rPr>
        <w:t>TUI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δείχνει τη μετάδοση «γεωπολιτικό σοκ → εμπιστοσύνη → συμπεριφορά καταναλωτή → απόφαση επιχείρησης» σε πραγματικό χρόνο: οι πελάτες ανέβαλαν κρατήσεις (το 45% δεν είχε κλείσει ως τον Απρίλιο), οι θερινές κρατήσεις έπεσαν 7% (ΗΒ −10%), δύο πλοία έμειναν εγκλωβισμένα, και η σύγκρουση κόστισε ~€40 εκατ. στο </w:t>
      </w:r>
      <w:r>
        <w:rPr>
          <w:i/>
          <w:iCs/>
          <w:color w:val="555555"/>
          <w:sz w:val="21"/>
          <w:szCs w:val="21"/>
        </w:rPr>
        <w:t>EBIT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β' τριμήνου. Η διοίκηση αντέδρασε αμυντικά: κατέβασε πρόβλεψη, ανέστειλε καθοδήγηση εσόδων, συγκράτησε επενδύσεις στο χαμηλό άκρο του εύρους. Είναι η ίδια λογική απόφασης-υπό-αβεβαιότητα που είδαμε στη </w:t>
      </w:r>
      <w:r>
        <w:rPr>
          <w:i/>
          <w:iCs/>
          <w:color w:val="555555"/>
          <w:sz w:val="21"/>
          <w:szCs w:val="21"/>
        </w:rPr>
        <w:t>Whirlpool</w:t>
      </w:r>
      <w:r w:rsidRPr="00BE7097">
        <w:rPr>
          <w:i/>
          <w:iCs/>
          <w:color w:val="555555"/>
          <w:sz w:val="21"/>
          <w:szCs w:val="21"/>
          <w:lang w:val="el-GR"/>
        </w:rPr>
        <w:t>.</w:t>
      </w:r>
    </w:p>
    <w:p w14:paraId="52AF1339" w14:textId="77777777" w:rsidR="000F61A1" w:rsidRPr="00BE7097" w:rsidRDefault="00000000">
      <w:pPr>
        <w:spacing w:after="110"/>
        <w:rPr>
          <w:lang w:val="el-GR"/>
        </w:rPr>
      </w:pPr>
      <w:r w:rsidRPr="00BE7097">
        <w:rPr>
          <w:b/>
          <w:bCs/>
          <w:i/>
          <w:iCs/>
          <w:color w:val="8A6D1F"/>
          <w:sz w:val="21"/>
          <w:szCs w:val="21"/>
          <w:lang w:val="el-GR"/>
        </w:rPr>
        <w:t xml:space="preserve">Συσχέτιση με την ύλη: </w:t>
      </w:r>
      <w:r w:rsidRPr="00BE7097">
        <w:rPr>
          <w:i/>
          <w:iCs/>
          <w:color w:val="8A6D1F"/>
          <w:sz w:val="21"/>
          <w:szCs w:val="21"/>
          <w:lang w:val="el-GR"/>
        </w:rPr>
        <w:t>Άμεση συνέχεια της προηγούμενης διάλεξης (</w:t>
      </w:r>
      <w:r>
        <w:rPr>
          <w:i/>
          <w:iCs/>
          <w:color w:val="8A6D1F"/>
          <w:sz w:val="21"/>
          <w:szCs w:val="21"/>
        </w:rPr>
        <w:t>Whirlpool</w:t>
      </w:r>
      <w:r w:rsidRPr="00BE7097">
        <w:rPr>
          <w:i/>
          <w:iCs/>
          <w:color w:val="8A6D1F"/>
          <w:sz w:val="21"/>
          <w:szCs w:val="21"/>
          <w:lang w:val="el-GR"/>
        </w:rPr>
        <w:t>: αναστολή μερίσματος, περικοπή καθοδήγησης), και της Διάλεξης 1 (</w:t>
      </w:r>
      <w:r>
        <w:rPr>
          <w:i/>
          <w:iCs/>
          <w:color w:val="8A6D1F"/>
          <w:sz w:val="21"/>
          <w:szCs w:val="21"/>
        </w:rPr>
        <w:t>animal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spirits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, η εμπιστοσύνη ως κινητήρας) και Διάλεξης 6 (η εμπιστοσύνη/προσδοκίες ως αυτο-εκπληρούμενος μηχανισμός). Ο πελάτης ως «δυναμικός», όχι στατικός — θέμα και των δύο </w:t>
      </w:r>
      <w:r>
        <w:rPr>
          <w:i/>
          <w:iCs/>
          <w:color w:val="8A6D1F"/>
          <w:sz w:val="21"/>
          <w:szCs w:val="21"/>
        </w:rPr>
        <w:t>case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(</w:t>
      </w:r>
      <w:r>
        <w:rPr>
          <w:i/>
          <w:iCs/>
          <w:color w:val="8A6D1F"/>
          <w:sz w:val="21"/>
          <w:szCs w:val="21"/>
        </w:rPr>
        <w:t>IKEA</w:t>
      </w:r>
      <w:r w:rsidRPr="00BE7097">
        <w:rPr>
          <w:i/>
          <w:iCs/>
          <w:color w:val="8A6D1F"/>
          <w:sz w:val="21"/>
          <w:szCs w:val="21"/>
          <w:lang w:val="el-GR"/>
        </w:rPr>
        <w:t>/</w:t>
      </w:r>
      <w:r>
        <w:rPr>
          <w:i/>
          <w:iCs/>
          <w:color w:val="8A6D1F"/>
          <w:sz w:val="21"/>
          <w:szCs w:val="21"/>
        </w:rPr>
        <w:t>Inditex</w:t>
      </w:r>
      <w:r w:rsidRPr="00BE7097">
        <w:rPr>
          <w:i/>
          <w:iCs/>
          <w:color w:val="8A6D1F"/>
          <w:sz w:val="21"/>
          <w:szCs w:val="21"/>
          <w:lang w:val="el-GR"/>
        </w:rPr>
        <w:t>).</w:t>
      </w:r>
    </w:p>
    <w:p w14:paraId="218165EC" w14:textId="77777777" w:rsidR="000F61A1" w:rsidRPr="00BE7097" w:rsidRDefault="00000000">
      <w:pPr>
        <w:keepNext/>
        <w:spacing w:before="180" w:after="60"/>
        <w:rPr>
          <w:lang w:val="el-GR"/>
        </w:rPr>
      </w:pPr>
      <w:r w:rsidRPr="00BE7097">
        <w:rPr>
          <w:b/>
          <w:bCs/>
          <w:sz w:val="23"/>
          <w:szCs w:val="23"/>
          <w:lang w:val="el-GR"/>
        </w:rPr>
        <w:t xml:space="preserve">Ερώτηση 3. </w:t>
      </w:r>
      <w:r w:rsidRPr="00BE7097">
        <w:rPr>
          <w:sz w:val="23"/>
          <w:szCs w:val="23"/>
          <w:lang w:val="el-GR"/>
        </w:rPr>
        <w:t>Τον Απρίλιο οι τιμές παραγωγού στην Ιαπωνία εκτινάχθηκαν 4,9% (ταχύτερη άνοδος από τον Μάιο 2023· Ελλάδα +8,3% Μάρτιο) λόγω πετρελαίου/χημικών, ναυτιλιακών διαταραχών και ασθενούς γεν. Ποια αλυσίδα μετάδοσης αποτυπώνεται;</w:t>
      </w:r>
    </w:p>
    <w:p w14:paraId="7C2FDE01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Α) </w:t>
      </w:r>
      <w:r w:rsidRPr="00BE7097">
        <w:rPr>
          <w:lang w:val="el-GR"/>
        </w:rPr>
        <w:t>Οι τιμές παραγωγού δεν έχουν καμία σχέση με τον μελλοντικό πληθωρισμό καταναλωτή.</w:t>
      </w:r>
    </w:p>
    <w:p w14:paraId="5364D34F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Β) </w:t>
      </w:r>
      <w:r w:rsidRPr="00BE7097">
        <w:rPr>
          <w:lang w:val="el-GR"/>
        </w:rPr>
        <w:t>Ενεργειακό/εισαγόμενο σοκ κόστους → άνοδος τιμών παραγωγού (</w:t>
      </w:r>
      <w:r>
        <w:t>PPI</w:t>
      </w:r>
      <w:r w:rsidRPr="00BE7097">
        <w:rPr>
          <w:lang w:val="el-GR"/>
        </w:rPr>
        <w:t>) → πιθανή μετακύλιση σε τιμές καταναλωτή → πίεση στις κεντρικές τράπεζες για αυξήσεις επιτοκίων (</w:t>
      </w:r>
      <w:r>
        <w:t>BoJ</w:t>
      </w:r>
      <w:r w:rsidRPr="00BE7097">
        <w:rPr>
          <w:lang w:val="el-GR"/>
        </w:rPr>
        <w:t xml:space="preserve"> τον Ιούνιο).</w:t>
      </w:r>
    </w:p>
    <w:p w14:paraId="5E0B5CC8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Γ) </w:t>
      </w:r>
      <w:r w:rsidRPr="00BE7097">
        <w:rPr>
          <w:lang w:val="el-GR"/>
        </w:rPr>
        <w:t xml:space="preserve">Η άνοδος του </w:t>
      </w:r>
      <w:r>
        <w:t>PPI</w:t>
      </w:r>
      <w:r w:rsidRPr="00BE7097">
        <w:rPr>
          <w:lang w:val="el-GR"/>
        </w:rPr>
        <w:t xml:space="preserve"> οδηγεί πάντα σε μείωση επιτοκίων.</w:t>
      </w:r>
    </w:p>
    <w:p w14:paraId="74F351C0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Δ) </w:t>
      </w:r>
      <w:r w:rsidRPr="00BE7097">
        <w:rPr>
          <w:lang w:val="el-GR"/>
        </w:rPr>
        <w:t>Η ισοτιμία του νομίσματος δεν επηρεάζει τις τιμές εισαγωγής.</w:t>
      </w:r>
    </w:p>
    <w:p w14:paraId="35941E93" w14:textId="77777777" w:rsidR="000F61A1" w:rsidRPr="00BE7097" w:rsidRDefault="00000000">
      <w:pPr>
        <w:spacing w:before="60" w:after="30"/>
        <w:rPr>
          <w:lang w:val="el-GR"/>
        </w:rPr>
      </w:pPr>
      <w:r w:rsidRPr="00BE7097">
        <w:rPr>
          <w:b/>
          <w:bCs/>
          <w:color w:val="2E7D32"/>
          <w:lang w:val="el-GR"/>
        </w:rPr>
        <w:t>Ορθή απάντηση: Β</w:t>
      </w:r>
    </w:p>
    <w:p w14:paraId="0E65AF91" w14:textId="77777777" w:rsidR="000F61A1" w:rsidRPr="00BE7097" w:rsidRDefault="00000000">
      <w:pPr>
        <w:spacing w:after="40"/>
        <w:rPr>
          <w:lang w:val="el-GR"/>
        </w:rPr>
      </w:pPr>
      <w:r w:rsidRPr="00BE7097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BE7097">
        <w:rPr>
          <w:i/>
          <w:iCs/>
          <w:color w:val="555555"/>
          <w:sz w:val="21"/>
          <w:szCs w:val="21"/>
          <w:lang w:val="el-GR"/>
        </w:rPr>
        <w:t>Ο δείκτης τιμών παραγωγού (</w:t>
      </w:r>
      <w:r>
        <w:rPr>
          <w:i/>
          <w:iCs/>
          <w:color w:val="555555"/>
          <w:sz w:val="21"/>
          <w:szCs w:val="21"/>
        </w:rPr>
        <w:t>PPI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) είναι πρόδρομος δείκτης: μετρά τι χρεώνουν οι παραγωγοί, και συχνά προηγείται του πληθωρισμού καταναλωτή. Εδώ το σοκ είναι διπλό — ενεργειακό (πετρέλαιο/χημικά, ναυτιλιακές διαταραχές Μέσης Ανατολής) και συναλλαγματικό (ασθενές γεν ανεβάζει το κόστος εισαγωγών). Η μετακύλιση στις τιμές καταναλωτή ωθεί την </w:t>
      </w:r>
      <w:r>
        <w:rPr>
          <w:i/>
          <w:iCs/>
          <w:color w:val="555555"/>
          <w:sz w:val="21"/>
          <w:szCs w:val="21"/>
        </w:rPr>
        <w:t>BoJ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προς αυξήσεις — δείχνοντας πώς ένα σοκ προσφοράς περιορίζει τα περιθώρια της νομισματικής πολιτικής (στασιμοπληθωριστικό δίλημμα).</w:t>
      </w:r>
    </w:p>
    <w:p w14:paraId="6E0D100F" w14:textId="77777777" w:rsidR="000F61A1" w:rsidRPr="00BE7097" w:rsidRDefault="00000000">
      <w:pPr>
        <w:spacing w:after="110"/>
        <w:rPr>
          <w:lang w:val="el-GR"/>
        </w:rPr>
      </w:pPr>
      <w:r w:rsidRPr="00BE7097">
        <w:rPr>
          <w:b/>
          <w:bCs/>
          <w:i/>
          <w:iCs/>
          <w:color w:val="8A6D1F"/>
          <w:sz w:val="21"/>
          <w:szCs w:val="21"/>
          <w:lang w:val="el-GR"/>
        </w:rPr>
        <w:t xml:space="preserve">Συσχέτιση με την ύλη: </w:t>
      </w:r>
      <w:r w:rsidRPr="00BE7097">
        <w:rPr>
          <w:i/>
          <w:iCs/>
          <w:color w:val="8A6D1F"/>
          <w:sz w:val="21"/>
          <w:szCs w:val="21"/>
          <w:lang w:val="el-GR"/>
        </w:rPr>
        <w:t>Πυκνή διασταύρωση: Διάλεξη 3 (ενεργειακό σοκ ως έμμεσος φόρος/μετάδοση), Διάλεξη 6 (πετρέλαιο→τιμές→</w:t>
      </w:r>
      <w:r>
        <w:rPr>
          <w:i/>
          <w:iCs/>
          <w:color w:val="8A6D1F"/>
          <w:sz w:val="21"/>
          <w:szCs w:val="21"/>
        </w:rPr>
        <w:t>CPI</w:t>
      </w:r>
      <w:r w:rsidRPr="00BE7097">
        <w:rPr>
          <w:i/>
          <w:iCs/>
          <w:color w:val="8A6D1F"/>
          <w:sz w:val="21"/>
          <w:szCs w:val="21"/>
          <w:lang w:val="el-GR"/>
        </w:rPr>
        <w:t>, δεύτερος γύρος), Διάλεξη 7 (μετακύλιση/</w:t>
      </w:r>
      <w:r>
        <w:rPr>
          <w:i/>
          <w:iCs/>
          <w:color w:val="8A6D1F"/>
          <w:sz w:val="21"/>
          <w:szCs w:val="21"/>
        </w:rPr>
        <w:t>incidence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), Διάλεξη 8 (ονομαστικά </w:t>
      </w:r>
      <w:r>
        <w:rPr>
          <w:i/>
          <w:iCs/>
          <w:color w:val="8A6D1F"/>
          <w:sz w:val="21"/>
          <w:szCs w:val="21"/>
        </w:rPr>
        <w:t>vs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πραγματικά). Το συναλλαγματικό κανάλι (γεν) συνδέει με τη Διάλεξη 5 (</w:t>
      </w:r>
      <w:r>
        <w:rPr>
          <w:i/>
          <w:iCs/>
          <w:color w:val="8A6D1F"/>
          <w:sz w:val="21"/>
          <w:szCs w:val="21"/>
        </w:rPr>
        <w:t>FX</w:t>
      </w:r>
      <w:r w:rsidRPr="00BE7097">
        <w:rPr>
          <w:i/>
          <w:iCs/>
          <w:color w:val="8A6D1F"/>
          <w:sz w:val="21"/>
          <w:szCs w:val="21"/>
          <w:lang w:val="el-GR"/>
        </w:rPr>
        <w:t>, διεθνής μετάδοση).</w:t>
      </w:r>
    </w:p>
    <w:p w14:paraId="062E0D1C" w14:textId="77777777" w:rsidR="000F61A1" w:rsidRPr="00BE7097" w:rsidRDefault="00000000">
      <w:pPr>
        <w:keepNext/>
        <w:spacing w:before="180" w:after="60"/>
        <w:rPr>
          <w:lang w:val="el-GR"/>
        </w:rPr>
      </w:pPr>
      <w:r w:rsidRPr="00BE7097">
        <w:rPr>
          <w:b/>
          <w:bCs/>
          <w:sz w:val="23"/>
          <w:szCs w:val="23"/>
          <w:lang w:val="el-GR"/>
        </w:rPr>
        <w:t xml:space="preserve">Ερώτηση 4. </w:t>
      </w:r>
      <w:r w:rsidRPr="00BE7097">
        <w:rPr>
          <w:sz w:val="23"/>
          <w:szCs w:val="23"/>
          <w:lang w:val="el-GR"/>
        </w:rPr>
        <w:t>Οι γερμανικές 10ετείς αποδόσεις σε υψηλά από το 2011 (~3,04%, +40 μ.β. από την έναρξη της σύγκρουσης) και ~90% πιθανότητα αύξησης ΕΚΤ τον Ιούνιο. Πώς ερμηνεύεται διοικητικά;</w:t>
      </w:r>
    </w:p>
    <w:p w14:paraId="2FB98FD0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Α) </w:t>
      </w:r>
      <w:r w:rsidRPr="00BE7097">
        <w:rPr>
          <w:lang w:val="el-GR"/>
        </w:rPr>
        <w:t>Ως άσχετο γεγονός για τις αποφάσεις χρηματοδότησης των επιχειρήσεων.</w:t>
      </w:r>
    </w:p>
    <w:p w14:paraId="7CCEF194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Β) </w:t>
      </w:r>
      <w:r w:rsidRPr="00BE7097">
        <w:rPr>
          <w:lang w:val="el-GR"/>
        </w:rPr>
        <w:t>Ως σήμα ότι το κόστος κεφαλαίου ανεβαίνει: οι προσδοκίες πληθωρισμού (λόγω ενέργειας) ωθούν τις αποδόσεις και τα επιτόκια ψηλότερα, ακριβαίνοντας δανεισμό, επενδύσεις και αποτιμήσεις — αναβίωση φόβων στασιμοπληθωρισμού.</w:t>
      </w:r>
    </w:p>
    <w:p w14:paraId="2A16C4DC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Γ) </w:t>
      </w:r>
      <w:r w:rsidRPr="00BE7097">
        <w:rPr>
          <w:lang w:val="el-GR"/>
        </w:rPr>
        <w:t>Ως εγγύηση ότι οι μετοχές θα ανέβουν.</w:t>
      </w:r>
    </w:p>
    <w:p w14:paraId="468AFCC5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Δ) </w:t>
      </w:r>
      <w:r w:rsidRPr="00BE7097">
        <w:rPr>
          <w:lang w:val="el-GR"/>
        </w:rPr>
        <w:t>Ως ένδειξη ότι ο πληθωρισμός έχει εξαλειφθεί.</w:t>
      </w:r>
    </w:p>
    <w:p w14:paraId="5D0FEB08" w14:textId="77777777" w:rsidR="000F61A1" w:rsidRPr="00BE7097" w:rsidRDefault="00000000">
      <w:pPr>
        <w:spacing w:before="60" w:after="30"/>
        <w:rPr>
          <w:lang w:val="el-GR"/>
        </w:rPr>
      </w:pPr>
      <w:r w:rsidRPr="00BE7097">
        <w:rPr>
          <w:b/>
          <w:bCs/>
          <w:color w:val="2E7D32"/>
          <w:lang w:val="el-GR"/>
        </w:rPr>
        <w:t>Ορθή απάντηση: Β</w:t>
      </w:r>
    </w:p>
    <w:p w14:paraId="46B8671A" w14:textId="77777777" w:rsidR="000F61A1" w:rsidRPr="00BE7097" w:rsidRDefault="00000000">
      <w:pPr>
        <w:spacing w:after="40"/>
        <w:rPr>
          <w:lang w:val="el-GR"/>
        </w:rPr>
      </w:pPr>
      <w:r w:rsidRPr="00BE7097">
        <w:rPr>
          <w:b/>
          <w:bCs/>
          <w:i/>
          <w:iCs/>
          <w:color w:val="555555"/>
          <w:sz w:val="21"/>
          <w:szCs w:val="21"/>
          <w:lang w:val="el-GR"/>
        </w:rPr>
        <w:lastRenderedPageBreak/>
        <w:t xml:space="preserve">Διδακτικό σχόλιο: </w:t>
      </w:r>
      <w:r w:rsidRPr="00BE7097">
        <w:rPr>
          <w:i/>
          <w:iCs/>
          <w:color w:val="555555"/>
          <w:sz w:val="21"/>
          <w:szCs w:val="21"/>
          <w:lang w:val="el-GR"/>
        </w:rPr>
        <w:t>Οι αποδόσεις των ομολόγων είναι η «τιμή του χρήματος» για όλη την οικονομία. Όταν το ενεργειακό σοκ ανεβάζει τις προσδοκίες πληθωρισμού, η αγορά τιμολογεί αυξήσεις επιτοκίων (~90% για 11 Ιουνίου, τρεις αυξήσεις ως το τέλος του έτους) — αντιστροφή από την προ-σύγκρουσης προσδοκία για σταθερά επιτόκια όλο το 2026. Για την επιχείρηση: ακριβότερη χρηματοδότηση, υψηλότερο προεξοφλητικό επιτόκιο (άρα πίεση σε αποτιμήσεις), αναβολή επενδύσεων. Η ταυτόχρονη άνοδος πληθωρισμού και κινδύνου επιβράδυνσης είναι ακριβώς ο στασιμοπληθωρισμός.</w:t>
      </w:r>
    </w:p>
    <w:p w14:paraId="2B581814" w14:textId="77777777" w:rsidR="000F61A1" w:rsidRPr="00BE7097" w:rsidRDefault="00000000">
      <w:pPr>
        <w:spacing w:after="110"/>
        <w:rPr>
          <w:lang w:val="el-GR"/>
        </w:rPr>
      </w:pPr>
      <w:r w:rsidRPr="00BE7097">
        <w:rPr>
          <w:b/>
          <w:bCs/>
          <w:i/>
          <w:iCs/>
          <w:color w:val="8A6D1F"/>
          <w:sz w:val="21"/>
          <w:szCs w:val="21"/>
          <w:lang w:val="el-GR"/>
        </w:rPr>
        <w:t xml:space="preserve">Συσχέτιση με την ύλη: 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Συνδέεται με τη Διάλεξη 2 (καμπύλη αποδόσεων ως σήμα, </w:t>
      </w:r>
      <w:r>
        <w:rPr>
          <w:i/>
          <w:iCs/>
          <w:color w:val="8A6D1F"/>
          <w:sz w:val="21"/>
          <w:szCs w:val="21"/>
        </w:rPr>
        <w:t>duration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risk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, </w:t>
      </w:r>
      <w:proofErr w:type="spellStart"/>
      <w:r>
        <w:rPr>
          <w:i/>
          <w:iCs/>
          <w:color w:val="8A6D1F"/>
          <w:sz w:val="21"/>
          <w:szCs w:val="21"/>
        </w:rPr>
        <w:t>SVB</w:t>
      </w:r>
      <w:proofErr w:type="spellEnd"/>
      <w:r w:rsidRPr="00BE7097">
        <w:rPr>
          <w:i/>
          <w:iCs/>
          <w:color w:val="8A6D1F"/>
          <w:sz w:val="21"/>
          <w:szCs w:val="21"/>
          <w:lang w:val="el-GR"/>
        </w:rPr>
        <w:t xml:space="preserve">), τη Διάλεξη 5 (η ΕΚΤ δεν ελέγχει πλήρως· προσδοκίες/αξιοπιστία· </w:t>
      </w:r>
      <w:r>
        <w:rPr>
          <w:i/>
          <w:iCs/>
          <w:color w:val="8A6D1F"/>
          <w:sz w:val="21"/>
          <w:szCs w:val="21"/>
        </w:rPr>
        <w:t>yield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curve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ως πιθανοτικό σήμα), και τον στασιμοπληθωρισμό της προηγούμενης διάλεξης. Η μετατροπή απόδοσης→κόστος κεφαλαίου προετοιμάζει τις ερωτήσεις για τα </w:t>
      </w:r>
      <w:r>
        <w:rPr>
          <w:i/>
          <w:iCs/>
          <w:color w:val="8A6D1F"/>
          <w:sz w:val="21"/>
          <w:szCs w:val="21"/>
        </w:rPr>
        <w:t>ratings</w:t>
      </w:r>
      <w:r w:rsidRPr="00BE7097">
        <w:rPr>
          <w:i/>
          <w:iCs/>
          <w:color w:val="8A6D1F"/>
          <w:sz w:val="21"/>
          <w:szCs w:val="21"/>
          <w:lang w:val="el-GR"/>
        </w:rPr>
        <w:t>.</w:t>
      </w:r>
    </w:p>
    <w:p w14:paraId="6DA0839D" w14:textId="77777777" w:rsidR="000F61A1" w:rsidRPr="00BE7097" w:rsidRDefault="00000000">
      <w:pPr>
        <w:keepNext/>
        <w:spacing w:before="180" w:after="60"/>
        <w:rPr>
          <w:lang w:val="el-GR"/>
        </w:rPr>
      </w:pPr>
      <w:r w:rsidRPr="00BE7097">
        <w:rPr>
          <w:b/>
          <w:bCs/>
          <w:sz w:val="23"/>
          <w:szCs w:val="23"/>
          <w:lang w:val="el-GR"/>
        </w:rPr>
        <w:t xml:space="preserve">Ερώτηση 5. </w:t>
      </w:r>
      <w:r w:rsidRPr="00BE7097">
        <w:rPr>
          <w:sz w:val="23"/>
          <w:szCs w:val="23"/>
          <w:lang w:val="el-GR"/>
        </w:rPr>
        <w:t>Η διάλεξη συνοψίζει: «Από τη διαχείριση κόστους στη δυναμική στρατηγική επιβίωσης — η επιχείρηση επιβιώνει όταν μπορεί να μετατρέψει την αβεβαιότητα σε προσαρμοστικότητα.» Ποια είναι η ορθή ανάγνωση;</w:t>
      </w:r>
    </w:p>
    <w:p w14:paraId="41E621C2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Α) </w:t>
      </w:r>
      <w:r w:rsidRPr="00BE7097">
        <w:rPr>
          <w:lang w:val="el-GR"/>
        </w:rPr>
        <w:t>Η επιβίωση εξαρτάται αποκλειστικά από την ελαχιστοποίηση κόστους.</w:t>
      </w:r>
    </w:p>
    <w:p w14:paraId="34A9F5E8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Β) </w:t>
      </w:r>
      <w:r w:rsidRPr="00BE7097">
        <w:rPr>
          <w:lang w:val="el-GR"/>
        </w:rPr>
        <w:t xml:space="preserve">Σε περιβάλλον υψηλής μεταβλητότητας, το ανταγωνιστικό πλεονέκτημα μετατοπίζεται από τη στατική ελαχιστοποίηση κόστους στην ικανότητα προσαρμογής — </w:t>
      </w:r>
      <w:r>
        <w:t>brand</w:t>
      </w:r>
      <w:r w:rsidRPr="00BE7097">
        <w:rPr>
          <w:lang w:val="el-GR"/>
        </w:rPr>
        <w:t xml:space="preserve"> </w:t>
      </w:r>
      <w:r>
        <w:t>equity</w:t>
      </w:r>
      <w:r w:rsidRPr="00BE7097">
        <w:rPr>
          <w:lang w:val="el-GR"/>
        </w:rPr>
        <w:t xml:space="preserve">, αποδοτική αλυσίδα αξίας, διαφοροποίηση, κυκλικότητα και υψηλό </w:t>
      </w:r>
      <w:r>
        <w:t>consumer</w:t>
      </w:r>
      <w:r w:rsidRPr="00BE7097">
        <w:rPr>
          <w:lang w:val="el-GR"/>
        </w:rPr>
        <w:t xml:space="preserve"> </w:t>
      </w:r>
      <w:r>
        <w:t>surplus</w:t>
      </w:r>
      <w:r w:rsidRPr="00BE7097">
        <w:rPr>
          <w:lang w:val="el-GR"/>
        </w:rPr>
        <w:t xml:space="preserve"> λειτουργούν ως αμυντικοί μοχλοί ανά αγορά κινδύνου.</w:t>
      </w:r>
    </w:p>
    <w:p w14:paraId="774B845E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Γ) </w:t>
      </w:r>
      <w:r w:rsidRPr="00BE7097">
        <w:rPr>
          <w:lang w:val="el-GR"/>
        </w:rPr>
        <w:t>Η μεταβλητότητα δεν μπορεί να αντιμετωπιστεί με κανέναν τρόπο.</w:t>
      </w:r>
    </w:p>
    <w:p w14:paraId="2722081B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Δ) </w:t>
      </w:r>
      <w:r w:rsidRPr="00BE7097">
        <w:rPr>
          <w:lang w:val="el-GR"/>
        </w:rPr>
        <w:t>Η προσαρμοστικότητα είναι λιγότερο σημαντική από τη βραχυπρόθεσμη μεγιστοποίηση κέρδους.</w:t>
      </w:r>
    </w:p>
    <w:p w14:paraId="5F9DB452" w14:textId="77777777" w:rsidR="000F61A1" w:rsidRPr="00BE7097" w:rsidRDefault="00000000">
      <w:pPr>
        <w:spacing w:before="60" w:after="30"/>
        <w:rPr>
          <w:lang w:val="el-GR"/>
        </w:rPr>
      </w:pPr>
      <w:r w:rsidRPr="00BE7097">
        <w:rPr>
          <w:b/>
          <w:bCs/>
          <w:color w:val="2E7D32"/>
          <w:lang w:val="el-GR"/>
        </w:rPr>
        <w:t>Ορθή απάντηση: Β</w:t>
      </w:r>
    </w:p>
    <w:p w14:paraId="401B96B0" w14:textId="77777777" w:rsidR="000F61A1" w:rsidRPr="00BE7097" w:rsidRDefault="00000000">
      <w:pPr>
        <w:spacing w:after="40"/>
        <w:rPr>
          <w:lang w:val="el-GR"/>
        </w:rPr>
      </w:pPr>
      <w:r w:rsidRPr="00BE7097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Ο πίνακας «αγορά κινδύνου → στρατηγική απάντηση» δείχνει την αρχή σε δράση: </w:t>
      </w:r>
      <w:r>
        <w:rPr>
          <w:i/>
          <w:iCs/>
          <w:color w:val="555555"/>
          <w:sz w:val="21"/>
          <w:szCs w:val="21"/>
        </w:rPr>
        <w:t>equities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(μεταβλητότητα/περιθώρια) → </w:t>
      </w:r>
      <w:r>
        <w:rPr>
          <w:i/>
          <w:iCs/>
          <w:color w:val="555555"/>
          <w:sz w:val="21"/>
          <w:szCs w:val="21"/>
        </w:rPr>
        <w:t>brand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equity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+ λειτουργική αποτελεσματικότητα· </w:t>
      </w:r>
      <w:r>
        <w:rPr>
          <w:i/>
          <w:iCs/>
          <w:color w:val="555555"/>
          <w:sz w:val="21"/>
          <w:szCs w:val="21"/>
        </w:rPr>
        <w:t>bonds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(κόστος κεφαλαίου) → συντηρητική επενδυτική λογική + αποδοτική αλυσίδα· </w:t>
      </w:r>
      <w:r>
        <w:rPr>
          <w:i/>
          <w:iCs/>
          <w:color w:val="555555"/>
          <w:sz w:val="21"/>
          <w:szCs w:val="21"/>
        </w:rPr>
        <w:t>FX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→ παγκόσμια διαφοροποίηση + τοπική προσαρμογή· </w:t>
      </w:r>
      <w:r>
        <w:rPr>
          <w:i/>
          <w:iCs/>
          <w:color w:val="555555"/>
          <w:sz w:val="21"/>
          <w:szCs w:val="21"/>
        </w:rPr>
        <w:t>commodities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→ κυκλικότητα + </w:t>
      </w:r>
      <w:r>
        <w:rPr>
          <w:i/>
          <w:iCs/>
          <w:color w:val="555555"/>
          <w:sz w:val="21"/>
          <w:szCs w:val="21"/>
        </w:rPr>
        <w:t>logistics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optimization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· </w:t>
      </w:r>
      <w:r>
        <w:rPr>
          <w:i/>
          <w:iCs/>
          <w:color w:val="555555"/>
          <w:sz w:val="21"/>
          <w:szCs w:val="21"/>
        </w:rPr>
        <w:t>consumer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demand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→ υψηλό </w:t>
      </w:r>
      <w:r>
        <w:rPr>
          <w:i/>
          <w:iCs/>
          <w:color w:val="555555"/>
          <w:sz w:val="21"/>
          <w:szCs w:val="21"/>
        </w:rPr>
        <w:t>consumer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surplus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+ εμπιστοσύνη. Κάθε μοχλός καλύπτει διαφορετικό κίνδυνο· κανείς μόνος δεν αρκεί. Η μετάβαση από «</w:t>
      </w:r>
      <w:r>
        <w:rPr>
          <w:i/>
          <w:iCs/>
          <w:color w:val="555555"/>
          <w:sz w:val="21"/>
          <w:szCs w:val="21"/>
        </w:rPr>
        <w:t>cost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management</w:t>
      </w:r>
      <w:r w:rsidRPr="00BE7097">
        <w:rPr>
          <w:i/>
          <w:iCs/>
          <w:color w:val="555555"/>
          <w:sz w:val="21"/>
          <w:szCs w:val="21"/>
          <w:lang w:val="el-GR"/>
        </w:rPr>
        <w:t>» σε «δυναμική επιβίωση» είναι η καρδιά του μαθήματος.</w:t>
      </w:r>
    </w:p>
    <w:p w14:paraId="7D70C32A" w14:textId="77777777" w:rsidR="000F61A1" w:rsidRPr="00BE7097" w:rsidRDefault="00000000">
      <w:pPr>
        <w:spacing w:after="110"/>
        <w:rPr>
          <w:lang w:val="el-GR"/>
        </w:rPr>
      </w:pPr>
      <w:r w:rsidRPr="00BE7097">
        <w:rPr>
          <w:b/>
          <w:bCs/>
          <w:i/>
          <w:iCs/>
          <w:color w:val="8A6D1F"/>
          <w:sz w:val="21"/>
          <w:szCs w:val="21"/>
          <w:lang w:val="el-GR"/>
        </w:rPr>
        <w:t xml:space="preserve">Συσχέτιση με την ύλη: </w:t>
      </w:r>
      <w:r w:rsidRPr="00BE7097">
        <w:rPr>
          <w:i/>
          <w:iCs/>
          <w:color w:val="8A6D1F"/>
          <w:sz w:val="21"/>
          <w:szCs w:val="21"/>
          <w:lang w:val="el-GR"/>
        </w:rPr>
        <w:t>Άμεση σύνθεση: Διάλεξη 4 (</w:t>
      </w:r>
      <w:r>
        <w:rPr>
          <w:i/>
          <w:iCs/>
          <w:color w:val="8A6D1F"/>
          <w:sz w:val="21"/>
          <w:szCs w:val="21"/>
        </w:rPr>
        <w:t>cost</w:t>
      </w:r>
      <w:r w:rsidRPr="00BE7097">
        <w:rPr>
          <w:i/>
          <w:iCs/>
          <w:color w:val="8A6D1F"/>
          <w:sz w:val="21"/>
          <w:szCs w:val="21"/>
          <w:lang w:val="el-GR"/>
        </w:rPr>
        <w:t>-</w:t>
      </w:r>
      <w:r>
        <w:rPr>
          <w:i/>
          <w:iCs/>
          <w:color w:val="8A6D1F"/>
          <w:sz w:val="21"/>
          <w:szCs w:val="21"/>
        </w:rPr>
        <w:t>min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→ </w:t>
      </w:r>
      <w:r>
        <w:rPr>
          <w:i/>
          <w:iCs/>
          <w:color w:val="8A6D1F"/>
          <w:sz w:val="21"/>
          <w:szCs w:val="21"/>
        </w:rPr>
        <w:t>risk</w:t>
      </w:r>
      <w:r w:rsidRPr="00BE7097">
        <w:rPr>
          <w:i/>
          <w:iCs/>
          <w:color w:val="8A6D1F"/>
          <w:sz w:val="21"/>
          <w:szCs w:val="21"/>
          <w:lang w:val="el-GR"/>
        </w:rPr>
        <w:t>-</w:t>
      </w:r>
      <w:r>
        <w:rPr>
          <w:i/>
          <w:iCs/>
          <w:color w:val="8A6D1F"/>
          <w:sz w:val="21"/>
          <w:szCs w:val="21"/>
        </w:rPr>
        <w:t>adjusted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optimisation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, </w:t>
      </w:r>
      <w:r>
        <w:rPr>
          <w:i/>
          <w:iCs/>
          <w:color w:val="8A6D1F"/>
          <w:sz w:val="21"/>
          <w:szCs w:val="21"/>
        </w:rPr>
        <w:t>margin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of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safety</w:t>
      </w:r>
      <w:r w:rsidRPr="00BE7097">
        <w:rPr>
          <w:i/>
          <w:iCs/>
          <w:color w:val="8A6D1F"/>
          <w:sz w:val="21"/>
          <w:szCs w:val="21"/>
          <w:lang w:val="el-GR"/>
        </w:rPr>
        <w:t>, χαμηλά σταθερά κόστη), Διάλεξη 6 (</w:t>
      </w:r>
      <w:r>
        <w:rPr>
          <w:i/>
          <w:iCs/>
          <w:color w:val="8A6D1F"/>
          <w:sz w:val="21"/>
          <w:szCs w:val="21"/>
        </w:rPr>
        <w:t>JIT</w:t>
      </w:r>
      <w:r w:rsidRPr="00BE7097">
        <w:rPr>
          <w:i/>
          <w:iCs/>
          <w:color w:val="8A6D1F"/>
          <w:sz w:val="21"/>
          <w:szCs w:val="21"/>
          <w:lang w:val="el-GR"/>
        </w:rPr>
        <w:t>→</w:t>
      </w:r>
      <w:proofErr w:type="spellStart"/>
      <w:r>
        <w:rPr>
          <w:i/>
          <w:iCs/>
          <w:color w:val="8A6D1F"/>
          <w:sz w:val="21"/>
          <w:szCs w:val="21"/>
        </w:rPr>
        <w:t>JIC</w:t>
      </w:r>
      <w:proofErr w:type="spellEnd"/>
      <w:r w:rsidRPr="00BE7097">
        <w:rPr>
          <w:i/>
          <w:iCs/>
          <w:color w:val="8A6D1F"/>
          <w:sz w:val="21"/>
          <w:szCs w:val="21"/>
          <w:lang w:val="el-GR"/>
        </w:rPr>
        <w:t xml:space="preserve">, </w:t>
      </w:r>
      <w:r>
        <w:rPr>
          <w:i/>
          <w:iCs/>
          <w:color w:val="8A6D1F"/>
          <w:sz w:val="21"/>
          <w:szCs w:val="21"/>
        </w:rPr>
        <w:t>hedging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, </w:t>
      </w:r>
      <w:proofErr w:type="spellStart"/>
      <w:r>
        <w:rPr>
          <w:i/>
          <w:iCs/>
          <w:color w:val="8A6D1F"/>
          <w:sz w:val="21"/>
          <w:szCs w:val="21"/>
        </w:rPr>
        <w:t>ESG</w:t>
      </w:r>
      <w:proofErr w:type="spellEnd"/>
      <w:r w:rsidRPr="00BE7097">
        <w:rPr>
          <w:i/>
          <w:iCs/>
          <w:color w:val="8A6D1F"/>
          <w:sz w:val="21"/>
          <w:szCs w:val="21"/>
          <w:lang w:val="el-GR"/>
        </w:rPr>
        <w:t xml:space="preserve"> ως </w:t>
      </w:r>
      <w:r>
        <w:rPr>
          <w:i/>
          <w:iCs/>
          <w:color w:val="8A6D1F"/>
          <w:sz w:val="21"/>
          <w:szCs w:val="21"/>
        </w:rPr>
        <w:t>volatility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hedge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), και η έννοια σύνθετο </w:t>
      </w:r>
      <w:r>
        <w:rPr>
          <w:i/>
          <w:iCs/>
          <w:color w:val="8A6D1F"/>
          <w:sz w:val="21"/>
          <w:szCs w:val="21"/>
        </w:rPr>
        <w:t>vs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περίπλοκο της Διάλεξης 5 (προσαρμογή αντί πρόβλεψης). Είναι ρητά η «εργαλειοθήκη ανθεκτικότητας» όλου του μαθήματος.</w:t>
      </w:r>
    </w:p>
    <w:p w14:paraId="69FC0B4E" w14:textId="77777777" w:rsidR="000F61A1" w:rsidRPr="00BE7097" w:rsidRDefault="00000000">
      <w:pPr>
        <w:keepNext/>
        <w:spacing w:before="180" w:after="60"/>
        <w:rPr>
          <w:lang w:val="el-GR"/>
        </w:rPr>
      </w:pPr>
      <w:r w:rsidRPr="00BE7097">
        <w:rPr>
          <w:b/>
          <w:bCs/>
          <w:sz w:val="23"/>
          <w:szCs w:val="23"/>
          <w:lang w:val="el-GR"/>
        </w:rPr>
        <w:t xml:space="preserve">Ερώτηση 6. </w:t>
      </w:r>
      <w:r w:rsidRPr="00BE7097">
        <w:rPr>
          <w:sz w:val="23"/>
          <w:szCs w:val="23"/>
          <w:lang w:val="el-GR"/>
        </w:rPr>
        <w:t xml:space="preserve">Γιατί, κατά τη διάλεξη, </w:t>
      </w:r>
      <w:r>
        <w:rPr>
          <w:sz w:val="23"/>
          <w:szCs w:val="23"/>
        </w:rPr>
        <w:t>Inditex</w:t>
      </w:r>
      <w:r w:rsidRPr="00BE7097">
        <w:rPr>
          <w:sz w:val="23"/>
          <w:szCs w:val="23"/>
          <w:lang w:val="el-GR"/>
        </w:rPr>
        <w:t xml:space="preserve"> και </w:t>
      </w:r>
      <w:r>
        <w:rPr>
          <w:sz w:val="23"/>
          <w:szCs w:val="23"/>
        </w:rPr>
        <w:t>IKEA</w:t>
      </w:r>
      <w:r w:rsidRPr="00BE7097">
        <w:rPr>
          <w:sz w:val="23"/>
          <w:szCs w:val="23"/>
          <w:lang w:val="el-GR"/>
        </w:rPr>
        <w:t xml:space="preserve"> είναι «καλύτερα προετοιμασμένες» μέσω πελατοκεντρικής φιλοσοφίας, </w:t>
      </w:r>
      <w:r>
        <w:rPr>
          <w:sz w:val="23"/>
          <w:szCs w:val="23"/>
        </w:rPr>
        <w:t>brand</w:t>
      </w:r>
      <w:r w:rsidRPr="00BE7097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equity</w:t>
      </w:r>
      <w:r w:rsidRPr="00BE7097">
        <w:rPr>
          <w:sz w:val="23"/>
          <w:szCs w:val="23"/>
          <w:lang w:val="el-GR"/>
        </w:rPr>
        <w:t xml:space="preserve"> και </w:t>
      </w:r>
      <w:r>
        <w:rPr>
          <w:sz w:val="23"/>
          <w:szCs w:val="23"/>
        </w:rPr>
        <w:t>bottom</w:t>
      </w:r>
      <w:r w:rsidRPr="00BE7097">
        <w:rPr>
          <w:sz w:val="23"/>
          <w:szCs w:val="23"/>
          <w:lang w:val="el-GR"/>
        </w:rPr>
        <w:t>-</w:t>
      </w:r>
      <w:r>
        <w:rPr>
          <w:sz w:val="23"/>
          <w:szCs w:val="23"/>
        </w:rPr>
        <w:t>up</w:t>
      </w:r>
      <w:r w:rsidRPr="00BE7097">
        <w:rPr>
          <w:sz w:val="23"/>
          <w:szCs w:val="23"/>
          <w:lang w:val="el-GR"/>
        </w:rPr>
        <w:t xml:space="preserve"> πληροφόρησης;</w:t>
      </w:r>
    </w:p>
    <w:p w14:paraId="054AA2A8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Α) </w:t>
      </w:r>
      <w:r w:rsidRPr="00BE7097">
        <w:rPr>
          <w:lang w:val="el-GR"/>
        </w:rPr>
        <w:t>Επειδή καθοδηγούνται κυρίως από βραχυπρόθεσμους χρηματοοικονομικούς δείκτες των επενδυτών.</w:t>
      </w:r>
    </w:p>
    <w:p w14:paraId="1B4EA90D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Β) </w:t>
      </w:r>
      <w:r w:rsidRPr="00BE7097">
        <w:rPr>
          <w:lang w:val="el-GR"/>
        </w:rPr>
        <w:t xml:space="preserve">Επειδή χτίζουν αξία από κάτω προς τα πάνω — η γνώση από το σημείο πώλησης/τα νοικοκυριά μετατρέπεται γρήγορα σε προϊόν και </w:t>
      </w:r>
      <w:r>
        <w:t>logistics</w:t>
      </w:r>
      <w:r w:rsidRPr="00BE7097">
        <w:rPr>
          <w:lang w:val="el-GR"/>
        </w:rPr>
        <w:t xml:space="preserve"> — και το </w:t>
      </w:r>
      <w:r>
        <w:t>brand</w:t>
      </w:r>
      <w:r w:rsidRPr="00BE7097">
        <w:rPr>
          <w:lang w:val="el-GR"/>
        </w:rPr>
        <w:t xml:space="preserve"> </w:t>
      </w:r>
      <w:r>
        <w:t>equity</w:t>
      </w:r>
      <w:r w:rsidRPr="00BE7097">
        <w:rPr>
          <w:lang w:val="el-GR"/>
        </w:rPr>
        <w:t xml:space="preserve"> λειτουργεί ως κεφάλαιο εμπιστοσύνης που μειώνει την αβεβαιότητα και αυξάνει το </w:t>
      </w:r>
      <w:r>
        <w:t>consumer</w:t>
      </w:r>
      <w:r w:rsidRPr="00BE7097">
        <w:rPr>
          <w:lang w:val="el-GR"/>
        </w:rPr>
        <w:t xml:space="preserve"> </w:t>
      </w:r>
      <w:r>
        <w:t>surplus</w:t>
      </w:r>
      <w:r w:rsidRPr="00BE7097">
        <w:rPr>
          <w:lang w:val="el-GR"/>
        </w:rPr>
        <w:t>.</w:t>
      </w:r>
    </w:p>
    <w:p w14:paraId="33B81D08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Γ) </w:t>
      </w:r>
      <w:r w:rsidRPr="00BE7097">
        <w:rPr>
          <w:lang w:val="el-GR"/>
        </w:rPr>
        <w:t>Επειδή αγνοούν εντελώς τον πελάτη και βασίζονται στη διαφήμιση.</w:t>
      </w:r>
    </w:p>
    <w:p w14:paraId="393E966C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Δ) </w:t>
      </w:r>
      <w:r w:rsidRPr="00BE7097">
        <w:rPr>
          <w:lang w:val="el-GR"/>
        </w:rPr>
        <w:t>Επειδή και οι δύο έχουν ταυτόσημα επιχειρηματικά μοντέλα.</w:t>
      </w:r>
    </w:p>
    <w:p w14:paraId="311D70E5" w14:textId="77777777" w:rsidR="000F61A1" w:rsidRPr="00BE7097" w:rsidRDefault="00000000">
      <w:pPr>
        <w:spacing w:before="60" w:after="30"/>
        <w:rPr>
          <w:lang w:val="el-GR"/>
        </w:rPr>
      </w:pPr>
      <w:r w:rsidRPr="00BE7097">
        <w:rPr>
          <w:b/>
          <w:bCs/>
          <w:color w:val="2E7D32"/>
          <w:lang w:val="el-GR"/>
        </w:rPr>
        <w:t>Ορθή απάντηση: Β</w:t>
      </w:r>
    </w:p>
    <w:p w14:paraId="5180DBDB" w14:textId="77777777" w:rsidR="000F61A1" w:rsidRPr="00BE7097" w:rsidRDefault="00000000">
      <w:pPr>
        <w:spacing w:after="40"/>
        <w:rPr>
          <w:lang w:val="el-GR"/>
        </w:rPr>
      </w:pPr>
      <w:r w:rsidRPr="00BE7097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Η διάλεξη ορίζει το </w:t>
      </w:r>
      <w:r>
        <w:rPr>
          <w:i/>
          <w:iCs/>
          <w:color w:val="555555"/>
          <w:sz w:val="21"/>
          <w:szCs w:val="21"/>
        </w:rPr>
        <w:t>brand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equity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όχι ως επικοινωνιακό αλλά ως «λειτουργικό κεφάλαιο εμπιστοσύνης»: μειώνει την αντιλαμβανόμενη αβεβαιότητα του πελάτη και άρα σταθεροποιεί τη ζήτηση σε σοκ. Το </w:t>
      </w:r>
      <w:r>
        <w:rPr>
          <w:i/>
          <w:iCs/>
          <w:color w:val="555555"/>
          <w:sz w:val="21"/>
          <w:szCs w:val="21"/>
        </w:rPr>
        <w:t>bottom</w:t>
      </w:r>
      <w:r w:rsidRPr="00BE7097">
        <w:rPr>
          <w:i/>
          <w:iCs/>
          <w:color w:val="555555"/>
          <w:sz w:val="21"/>
          <w:szCs w:val="21"/>
          <w:lang w:val="el-GR"/>
        </w:rPr>
        <w:t>-</w:t>
      </w:r>
      <w:r>
        <w:rPr>
          <w:i/>
          <w:iCs/>
          <w:color w:val="555555"/>
          <w:sz w:val="21"/>
          <w:szCs w:val="21"/>
        </w:rPr>
        <w:t>up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μοντέλο (</w:t>
      </w:r>
      <w:r>
        <w:rPr>
          <w:i/>
          <w:iCs/>
          <w:color w:val="555555"/>
          <w:sz w:val="21"/>
          <w:szCs w:val="21"/>
        </w:rPr>
        <w:t>Inditex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: </w:t>
      </w:r>
      <w:r>
        <w:rPr>
          <w:i/>
          <w:iCs/>
          <w:color w:val="555555"/>
          <w:sz w:val="21"/>
          <w:szCs w:val="21"/>
        </w:rPr>
        <w:t>real</w:t>
      </w:r>
      <w:r w:rsidRPr="00BE7097">
        <w:rPr>
          <w:i/>
          <w:iCs/>
          <w:color w:val="555555"/>
          <w:sz w:val="21"/>
          <w:szCs w:val="21"/>
          <w:lang w:val="el-GR"/>
        </w:rPr>
        <w:t>-</w:t>
      </w:r>
      <w:r>
        <w:rPr>
          <w:i/>
          <w:iCs/>
          <w:color w:val="555555"/>
          <w:sz w:val="21"/>
          <w:szCs w:val="21"/>
        </w:rPr>
        <w:t>time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feedback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/πωλήσεις· </w:t>
      </w:r>
      <w:r>
        <w:rPr>
          <w:i/>
          <w:iCs/>
          <w:color w:val="555555"/>
          <w:sz w:val="21"/>
          <w:szCs w:val="21"/>
        </w:rPr>
        <w:t>IKEA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: </w:t>
      </w:r>
      <w:r>
        <w:rPr>
          <w:i/>
          <w:iCs/>
          <w:color w:val="555555"/>
          <w:sz w:val="21"/>
          <w:szCs w:val="21"/>
        </w:rPr>
        <w:t>home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visits</w:t>
      </w:r>
      <w:r w:rsidRPr="00BE7097">
        <w:rPr>
          <w:i/>
          <w:iCs/>
          <w:color w:val="555555"/>
          <w:sz w:val="21"/>
          <w:szCs w:val="21"/>
          <w:lang w:val="el-GR"/>
        </w:rPr>
        <w:t>/</w:t>
      </w:r>
      <w:r>
        <w:rPr>
          <w:i/>
          <w:iCs/>
          <w:color w:val="555555"/>
          <w:sz w:val="21"/>
          <w:szCs w:val="21"/>
        </w:rPr>
        <w:t>Life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at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Home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) λειτουργεί ως «μηχανισμός επιβίωσης» γιατί αντιλαμβάνεται γρήγορα τις </w:t>
      </w:r>
      <w:r w:rsidRPr="00BE7097">
        <w:rPr>
          <w:i/>
          <w:iCs/>
          <w:color w:val="555555"/>
          <w:sz w:val="21"/>
          <w:szCs w:val="21"/>
          <w:lang w:val="el-GR"/>
        </w:rPr>
        <w:lastRenderedPageBreak/>
        <w:t xml:space="preserve">αλλαγές. Και οι δύο αυξάνουν το </w:t>
      </w:r>
      <w:r>
        <w:rPr>
          <w:i/>
          <w:iCs/>
          <w:color w:val="555555"/>
          <w:sz w:val="21"/>
          <w:szCs w:val="21"/>
        </w:rPr>
        <w:t>consumer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surplus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</w:t>
      </w:r>
      <w:r>
        <w:rPr>
          <w:i/>
          <w:iCs/>
          <w:color w:val="555555"/>
          <w:sz w:val="21"/>
          <w:szCs w:val="21"/>
        </w:rPr>
        <w:t>Inditex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μέσω ταχύτητας/μόδας/προσβασιμότητας· </w:t>
      </w:r>
      <w:r>
        <w:rPr>
          <w:i/>
          <w:iCs/>
          <w:color w:val="555555"/>
          <w:sz w:val="21"/>
          <w:szCs w:val="21"/>
        </w:rPr>
        <w:t>IKEA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μέσω προσιτής λειτουργικής ποιότητας), αντιμετωπίζοντας τον πελάτη ως δυναμικό συμμετέχοντα.</w:t>
      </w:r>
    </w:p>
    <w:p w14:paraId="577F3228" w14:textId="77777777" w:rsidR="000F61A1" w:rsidRPr="00BE7097" w:rsidRDefault="00000000">
      <w:pPr>
        <w:spacing w:after="110"/>
        <w:rPr>
          <w:lang w:val="el-GR"/>
        </w:rPr>
      </w:pPr>
      <w:r w:rsidRPr="00BE7097">
        <w:rPr>
          <w:b/>
          <w:bCs/>
          <w:i/>
          <w:iCs/>
          <w:color w:val="8A6D1F"/>
          <w:sz w:val="21"/>
          <w:szCs w:val="21"/>
          <w:lang w:val="el-GR"/>
        </w:rPr>
        <w:t xml:space="preserve">Συσχέτιση με την ύλη: 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Συμπυκνώνει τα δύο </w:t>
      </w:r>
      <w:r>
        <w:rPr>
          <w:i/>
          <w:iCs/>
          <w:color w:val="8A6D1F"/>
          <w:sz w:val="21"/>
          <w:szCs w:val="21"/>
        </w:rPr>
        <w:t>case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(</w:t>
      </w:r>
      <w:r>
        <w:rPr>
          <w:i/>
          <w:iCs/>
          <w:color w:val="8A6D1F"/>
          <w:sz w:val="21"/>
          <w:szCs w:val="21"/>
        </w:rPr>
        <w:t>IKEA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, </w:t>
      </w:r>
      <w:r>
        <w:rPr>
          <w:i/>
          <w:iCs/>
          <w:color w:val="8A6D1F"/>
          <w:sz w:val="21"/>
          <w:szCs w:val="21"/>
        </w:rPr>
        <w:t>Inditex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) και τη δική σας έρευνα: το </w:t>
      </w:r>
      <w:r>
        <w:rPr>
          <w:i/>
          <w:iCs/>
          <w:color w:val="8A6D1F"/>
          <w:sz w:val="21"/>
          <w:szCs w:val="21"/>
        </w:rPr>
        <w:t>brand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equity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ως θεσμικό κεφάλαιο εμπιστοσύνης είναι ακριβώς η θέση του άρθρου </w:t>
      </w:r>
      <w:r>
        <w:rPr>
          <w:i/>
          <w:iCs/>
          <w:color w:val="8A6D1F"/>
          <w:sz w:val="21"/>
          <w:szCs w:val="21"/>
        </w:rPr>
        <w:t>Cambis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&amp; </w:t>
      </w:r>
      <w:r>
        <w:rPr>
          <w:i/>
          <w:iCs/>
          <w:color w:val="8A6D1F"/>
          <w:sz w:val="21"/>
          <w:szCs w:val="21"/>
        </w:rPr>
        <w:t>Spanaki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ενάντια στην «εμμονή στην ποσοτικοποίηση» — και συνδέεται με τη Διάλεξη 8 (λογοδοσία </w:t>
      </w:r>
      <w:r>
        <w:rPr>
          <w:i/>
          <w:iCs/>
          <w:color w:val="8A6D1F"/>
          <w:sz w:val="21"/>
          <w:szCs w:val="21"/>
        </w:rPr>
        <w:t>marketing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assets</w:t>
      </w:r>
      <w:r w:rsidRPr="00BE7097">
        <w:rPr>
          <w:i/>
          <w:iCs/>
          <w:color w:val="8A6D1F"/>
          <w:sz w:val="21"/>
          <w:szCs w:val="21"/>
          <w:lang w:val="el-GR"/>
        </w:rPr>
        <w:t>) και τη Διάλεξη 7 (</w:t>
      </w:r>
      <w:r>
        <w:rPr>
          <w:i/>
          <w:iCs/>
          <w:color w:val="8A6D1F"/>
          <w:sz w:val="21"/>
          <w:szCs w:val="21"/>
        </w:rPr>
        <w:t>consumer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surplus</w:t>
      </w:r>
      <w:r w:rsidRPr="00BE7097">
        <w:rPr>
          <w:i/>
          <w:iCs/>
          <w:color w:val="8A6D1F"/>
          <w:sz w:val="21"/>
          <w:szCs w:val="21"/>
          <w:lang w:val="el-GR"/>
        </w:rPr>
        <w:t>, ευθυγραμμισμένα συμφέροντα).</w:t>
      </w:r>
    </w:p>
    <w:p w14:paraId="45B3FAF4" w14:textId="77777777" w:rsidR="000F61A1" w:rsidRPr="00BE7097" w:rsidRDefault="00000000">
      <w:pPr>
        <w:keepNext/>
        <w:spacing w:before="180" w:after="60"/>
        <w:rPr>
          <w:lang w:val="el-GR"/>
        </w:rPr>
      </w:pPr>
      <w:r w:rsidRPr="00BE7097">
        <w:rPr>
          <w:b/>
          <w:bCs/>
          <w:sz w:val="23"/>
          <w:szCs w:val="23"/>
          <w:lang w:val="el-GR"/>
        </w:rPr>
        <w:t xml:space="preserve">Ερώτηση 7. </w:t>
      </w:r>
      <w:r w:rsidRPr="00BE7097">
        <w:rPr>
          <w:sz w:val="23"/>
          <w:szCs w:val="23"/>
          <w:lang w:val="el-GR"/>
        </w:rPr>
        <w:t xml:space="preserve">Στη συγκριτική ανάλυση, η </w:t>
      </w:r>
      <w:r>
        <w:rPr>
          <w:sz w:val="23"/>
          <w:szCs w:val="23"/>
        </w:rPr>
        <w:t>Inditex</w:t>
      </w:r>
      <w:r w:rsidRPr="00BE7097">
        <w:rPr>
          <w:sz w:val="23"/>
          <w:szCs w:val="23"/>
          <w:lang w:val="el-GR"/>
        </w:rPr>
        <w:t xml:space="preserve"> είναι κάθετα ολοκληρωμένη (ταχύτητα, μικρές παρτίδες, εγγύτητα, </w:t>
      </w:r>
      <w:r>
        <w:rPr>
          <w:sz w:val="23"/>
          <w:szCs w:val="23"/>
        </w:rPr>
        <w:t>RFID</w:t>
      </w:r>
      <w:r w:rsidRPr="00BE7097">
        <w:rPr>
          <w:sz w:val="23"/>
          <w:szCs w:val="23"/>
          <w:lang w:val="el-GR"/>
        </w:rPr>
        <w:t xml:space="preserve">) ενώ η </w:t>
      </w:r>
      <w:r>
        <w:rPr>
          <w:sz w:val="23"/>
          <w:szCs w:val="23"/>
        </w:rPr>
        <w:t>IKEA</w:t>
      </w:r>
      <w:r w:rsidRPr="00BE7097">
        <w:rPr>
          <w:sz w:val="23"/>
          <w:szCs w:val="23"/>
          <w:lang w:val="el-GR"/>
        </w:rPr>
        <w:t xml:space="preserve"> λειτουργεί με </w:t>
      </w:r>
      <w:r>
        <w:rPr>
          <w:sz w:val="23"/>
          <w:szCs w:val="23"/>
        </w:rPr>
        <w:t>franchise</w:t>
      </w:r>
      <w:r w:rsidRPr="00BE7097">
        <w:rPr>
          <w:sz w:val="23"/>
          <w:szCs w:val="23"/>
          <w:lang w:val="el-GR"/>
        </w:rPr>
        <w:t xml:space="preserve"> + </w:t>
      </w:r>
      <w:r>
        <w:rPr>
          <w:sz w:val="23"/>
          <w:szCs w:val="23"/>
        </w:rPr>
        <w:t>flat</w:t>
      </w:r>
      <w:r w:rsidRPr="00BE7097">
        <w:rPr>
          <w:sz w:val="23"/>
          <w:szCs w:val="23"/>
          <w:lang w:val="el-GR"/>
        </w:rPr>
        <w:t>-</w:t>
      </w:r>
      <w:r>
        <w:rPr>
          <w:sz w:val="23"/>
          <w:szCs w:val="23"/>
        </w:rPr>
        <w:t>pack</w:t>
      </w:r>
      <w:r w:rsidRPr="00BE7097">
        <w:rPr>
          <w:sz w:val="23"/>
          <w:szCs w:val="23"/>
          <w:lang w:val="el-GR"/>
        </w:rPr>
        <w:t>/χαμηλά σταθερά κόστη. Ποιο είναι το κεντρικό δίδαγμα;</w:t>
      </w:r>
    </w:p>
    <w:p w14:paraId="24AF34FD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Α) </w:t>
      </w:r>
      <w:r w:rsidRPr="00BE7097">
        <w:rPr>
          <w:lang w:val="el-GR"/>
        </w:rPr>
        <w:t>Ένα μοντέλο είναι αντικειμενικά ανώτερο και το άλλο λανθασμένο.</w:t>
      </w:r>
    </w:p>
    <w:p w14:paraId="70909949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Β) </w:t>
      </w:r>
      <w:r w:rsidRPr="00BE7097">
        <w:rPr>
          <w:lang w:val="el-GR"/>
        </w:rPr>
        <w:t xml:space="preserve">Υπάρχουν πολλαπλοί δρόμοι προς την ανθεκτικότητα: η δομή ακολουθεί τον κυρίαρχο κίνδυνο — η </w:t>
      </w:r>
      <w:r>
        <w:t>Inditex</w:t>
      </w:r>
      <w:r w:rsidRPr="00BE7097">
        <w:rPr>
          <w:lang w:val="el-GR"/>
        </w:rPr>
        <w:t xml:space="preserve"> εσωτερικεύει την αλυσίδα για ταχύτητα (κίνδυνος τάσης/χρόνου), η </w:t>
      </w:r>
      <w:r>
        <w:t>IKEA</w:t>
      </w:r>
      <w:r w:rsidRPr="00BE7097">
        <w:rPr>
          <w:lang w:val="el-GR"/>
        </w:rPr>
        <w:t xml:space="preserve"> μετατοπίζει σταθερά κόστη/κεφάλαιο σε </w:t>
      </w:r>
      <w:r>
        <w:t>franchisees</w:t>
      </w:r>
      <w:r w:rsidRPr="00BE7097">
        <w:rPr>
          <w:lang w:val="el-GR"/>
        </w:rPr>
        <w:t xml:space="preserve"> (κεφαλαιακός/λειτουργικός κίνδυνος) — με κοινή πελατοκεντρική, βιώσιμη βάση.</w:t>
      </w:r>
    </w:p>
    <w:p w14:paraId="76557B61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Γ) </w:t>
      </w:r>
      <w:r w:rsidRPr="00BE7097">
        <w:rPr>
          <w:lang w:val="el-GR"/>
        </w:rPr>
        <w:t>Η ανθεκτικότητα εξαρτάται μόνο από το μέγεθος της εταιρείας.</w:t>
      </w:r>
    </w:p>
    <w:p w14:paraId="486B2DCD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Δ) </w:t>
      </w:r>
      <w:r w:rsidRPr="00BE7097">
        <w:rPr>
          <w:lang w:val="el-GR"/>
        </w:rPr>
        <w:t xml:space="preserve">Η κάθετη ολοκλήρωση και το </w:t>
      </w:r>
      <w:r>
        <w:t>franchising</w:t>
      </w:r>
      <w:r w:rsidRPr="00BE7097">
        <w:rPr>
          <w:lang w:val="el-GR"/>
        </w:rPr>
        <w:t xml:space="preserve"> δεν διαφέρουν ουσιαστικά.</w:t>
      </w:r>
    </w:p>
    <w:p w14:paraId="52C8EB29" w14:textId="77777777" w:rsidR="000F61A1" w:rsidRPr="00BE7097" w:rsidRDefault="00000000">
      <w:pPr>
        <w:spacing w:before="60" w:after="30"/>
        <w:rPr>
          <w:lang w:val="el-GR"/>
        </w:rPr>
      </w:pPr>
      <w:r w:rsidRPr="00BE7097">
        <w:rPr>
          <w:b/>
          <w:bCs/>
          <w:color w:val="2E7D32"/>
          <w:lang w:val="el-GR"/>
        </w:rPr>
        <w:t>Ορθή απάντηση: Β</w:t>
      </w:r>
    </w:p>
    <w:p w14:paraId="00F26DFF" w14:textId="77777777" w:rsidR="000F61A1" w:rsidRPr="00BE7097" w:rsidRDefault="00000000">
      <w:pPr>
        <w:spacing w:after="40"/>
        <w:rPr>
          <w:lang w:val="el-GR"/>
        </w:rPr>
      </w:pPr>
      <w:r w:rsidRPr="00BE7097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Η σύγκριση δείχνει ότι η ανθεκτικότητα δεν έχει μία «σωστή» μορφή. Η </w:t>
      </w:r>
      <w:r>
        <w:rPr>
          <w:i/>
          <w:iCs/>
          <w:color w:val="555555"/>
          <w:sz w:val="21"/>
          <w:szCs w:val="21"/>
        </w:rPr>
        <w:t>Zara</w:t>
      </w:r>
      <w:r w:rsidRPr="00BE7097">
        <w:rPr>
          <w:i/>
          <w:iCs/>
          <w:color w:val="555555"/>
          <w:sz w:val="21"/>
          <w:szCs w:val="21"/>
          <w:lang w:val="el-GR"/>
        </w:rPr>
        <w:t>/</w:t>
      </w:r>
      <w:r>
        <w:rPr>
          <w:i/>
          <w:iCs/>
          <w:color w:val="555555"/>
          <w:sz w:val="21"/>
          <w:szCs w:val="21"/>
        </w:rPr>
        <w:t>Inditex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ελέγχει στρατηγικά κρίσιμα σημεία της αλυσίδας (σχεδιασμός→παραγωγή→</w:t>
      </w:r>
      <w:r>
        <w:rPr>
          <w:i/>
          <w:iCs/>
          <w:color w:val="555555"/>
          <w:sz w:val="21"/>
          <w:szCs w:val="21"/>
        </w:rPr>
        <w:t>logistics</w:t>
      </w:r>
      <w:r w:rsidRPr="00BE7097">
        <w:rPr>
          <w:i/>
          <w:iCs/>
          <w:color w:val="555555"/>
          <w:sz w:val="21"/>
          <w:szCs w:val="21"/>
          <w:lang w:val="el-GR"/>
        </w:rPr>
        <w:t>→κατάστημα/</w:t>
      </w:r>
      <w:r>
        <w:rPr>
          <w:i/>
          <w:iCs/>
          <w:color w:val="555555"/>
          <w:sz w:val="21"/>
          <w:szCs w:val="21"/>
        </w:rPr>
        <w:t>online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) για να μεγιστοποιήσει την ταχύτητα αντίδρασης — γιατί στη μόδα ο κυρίαρχος κίνδυνος είναι ο χρόνος/η αστοχία τάσης. Η </w:t>
      </w:r>
      <w:r>
        <w:rPr>
          <w:i/>
          <w:iCs/>
          <w:color w:val="555555"/>
          <w:sz w:val="21"/>
          <w:szCs w:val="21"/>
        </w:rPr>
        <w:t>IKEA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, με αργής κίνησης έπιπλα και υψηλό κεφάλαιο καταστήματος, μειώνει τον κεφαλαιακό/σταθερό κίνδυνο μέσω </w:t>
      </w:r>
      <w:r>
        <w:rPr>
          <w:i/>
          <w:iCs/>
          <w:color w:val="555555"/>
          <w:sz w:val="21"/>
          <w:szCs w:val="21"/>
        </w:rPr>
        <w:t>franchise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και τυποποίησης, με ~20% τοπική προσαρμογή. Διαφορετικές δομές, ίδια αρχή: ταίριαξε τη δομή στον κυρίαρχο κίνδυνο.</w:t>
      </w:r>
    </w:p>
    <w:p w14:paraId="6F728AE7" w14:textId="77777777" w:rsidR="000F61A1" w:rsidRPr="00BE7097" w:rsidRDefault="00000000">
      <w:pPr>
        <w:spacing w:after="110"/>
        <w:rPr>
          <w:lang w:val="el-GR"/>
        </w:rPr>
      </w:pPr>
      <w:r w:rsidRPr="00BE7097">
        <w:rPr>
          <w:b/>
          <w:bCs/>
          <w:i/>
          <w:iCs/>
          <w:color w:val="8A6D1F"/>
          <w:sz w:val="21"/>
          <w:szCs w:val="21"/>
          <w:lang w:val="el-GR"/>
        </w:rPr>
        <w:t xml:space="preserve">Συσχέτιση με την ύλη: 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Ενώνει ρητά τα δύο </w:t>
      </w:r>
      <w:r>
        <w:rPr>
          <w:i/>
          <w:iCs/>
          <w:color w:val="8A6D1F"/>
          <w:sz w:val="21"/>
          <w:szCs w:val="21"/>
        </w:rPr>
        <w:t>case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(</w:t>
      </w:r>
      <w:r>
        <w:rPr>
          <w:i/>
          <w:iCs/>
          <w:color w:val="8A6D1F"/>
          <w:sz w:val="21"/>
          <w:szCs w:val="21"/>
        </w:rPr>
        <w:t>Inditex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κάθετη ολοκλήρωση </w:t>
      </w:r>
      <w:r>
        <w:rPr>
          <w:i/>
          <w:iCs/>
          <w:color w:val="8A6D1F"/>
          <w:sz w:val="21"/>
          <w:szCs w:val="21"/>
        </w:rPr>
        <w:t>vs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IKEA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franchise</w:t>
      </w:r>
      <w:r w:rsidRPr="00BE7097">
        <w:rPr>
          <w:i/>
          <w:iCs/>
          <w:color w:val="8A6D1F"/>
          <w:sz w:val="21"/>
          <w:szCs w:val="21"/>
          <w:lang w:val="el-GR"/>
        </w:rPr>
        <w:t>/</w:t>
      </w:r>
      <w:r>
        <w:rPr>
          <w:i/>
          <w:iCs/>
          <w:color w:val="8A6D1F"/>
          <w:sz w:val="21"/>
          <w:szCs w:val="21"/>
        </w:rPr>
        <w:t>asset</w:t>
      </w:r>
      <w:r w:rsidRPr="00BE7097">
        <w:rPr>
          <w:i/>
          <w:iCs/>
          <w:color w:val="8A6D1F"/>
          <w:sz w:val="21"/>
          <w:szCs w:val="21"/>
          <w:lang w:val="el-GR"/>
        </w:rPr>
        <w:t>-</w:t>
      </w:r>
      <w:r>
        <w:rPr>
          <w:i/>
          <w:iCs/>
          <w:color w:val="8A6D1F"/>
          <w:sz w:val="21"/>
          <w:szCs w:val="21"/>
        </w:rPr>
        <w:t>light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) και τη Διάλεξη 4 (λειτουργική μόχλευση, χαμηλά σταθερά κόστη, άλμα σε ύψος </w:t>
      </w:r>
      <w:r>
        <w:rPr>
          <w:i/>
          <w:iCs/>
          <w:color w:val="8A6D1F"/>
          <w:sz w:val="21"/>
          <w:szCs w:val="21"/>
        </w:rPr>
        <w:t>vs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επί κοντώ· </w:t>
      </w:r>
      <w:r>
        <w:rPr>
          <w:i/>
          <w:iCs/>
          <w:color w:val="8A6D1F"/>
          <w:sz w:val="21"/>
          <w:szCs w:val="21"/>
        </w:rPr>
        <w:t>margin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of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safety</w:t>
      </w:r>
      <w:r w:rsidRPr="00BE7097">
        <w:rPr>
          <w:i/>
          <w:iCs/>
          <w:color w:val="8A6D1F"/>
          <w:sz w:val="21"/>
          <w:szCs w:val="21"/>
          <w:lang w:val="el-GR"/>
        </w:rPr>
        <w:t>). «Δομή ακολουθεί τον κίνδυνο» είναι η γέφυρα μεταξύ μικροοικονομικής δομής κόστους και στρατηγικής ανθεκτικότητας.</w:t>
      </w:r>
    </w:p>
    <w:p w14:paraId="1847B3C3" w14:textId="77777777" w:rsidR="000F61A1" w:rsidRPr="00BE7097" w:rsidRDefault="00000000">
      <w:pPr>
        <w:keepNext/>
        <w:spacing w:before="180" w:after="60"/>
        <w:rPr>
          <w:lang w:val="el-GR"/>
        </w:rPr>
      </w:pPr>
      <w:r w:rsidRPr="00BE7097">
        <w:rPr>
          <w:b/>
          <w:bCs/>
          <w:sz w:val="23"/>
          <w:szCs w:val="23"/>
          <w:lang w:val="el-GR"/>
        </w:rPr>
        <w:t xml:space="preserve">Ερώτηση 8. </w:t>
      </w:r>
      <w:r w:rsidRPr="00BE7097">
        <w:rPr>
          <w:sz w:val="23"/>
          <w:szCs w:val="23"/>
          <w:lang w:val="el-GR"/>
        </w:rPr>
        <w:t>Νέο τεχνικό υλικό: οι οίκοι αξιολόγησης (</w:t>
      </w:r>
      <w:r>
        <w:rPr>
          <w:sz w:val="23"/>
          <w:szCs w:val="23"/>
        </w:rPr>
        <w:t>S</w:t>
      </w:r>
      <w:r w:rsidRPr="00BE7097">
        <w:rPr>
          <w:sz w:val="23"/>
          <w:szCs w:val="23"/>
          <w:lang w:val="el-GR"/>
        </w:rPr>
        <w:t>&amp;</w:t>
      </w:r>
      <w:r>
        <w:rPr>
          <w:sz w:val="23"/>
          <w:szCs w:val="23"/>
        </w:rPr>
        <w:t>P</w:t>
      </w:r>
      <w:r w:rsidRPr="00BE7097">
        <w:rPr>
          <w:sz w:val="23"/>
          <w:szCs w:val="23"/>
          <w:lang w:val="el-GR"/>
        </w:rPr>
        <w:t xml:space="preserve">, </w:t>
      </w:r>
      <w:r>
        <w:rPr>
          <w:sz w:val="23"/>
          <w:szCs w:val="23"/>
        </w:rPr>
        <w:t>Moody</w:t>
      </w:r>
      <w:r w:rsidRPr="00BE7097">
        <w:rPr>
          <w:sz w:val="23"/>
          <w:szCs w:val="23"/>
          <w:lang w:val="el-GR"/>
        </w:rPr>
        <w:t>'</w:t>
      </w:r>
      <w:r>
        <w:rPr>
          <w:sz w:val="23"/>
          <w:szCs w:val="23"/>
        </w:rPr>
        <w:t>s</w:t>
      </w:r>
      <w:r w:rsidRPr="00BE7097">
        <w:rPr>
          <w:sz w:val="23"/>
          <w:szCs w:val="23"/>
          <w:lang w:val="el-GR"/>
        </w:rPr>
        <w:t xml:space="preserve">, </w:t>
      </w:r>
      <w:r>
        <w:rPr>
          <w:sz w:val="23"/>
          <w:szCs w:val="23"/>
        </w:rPr>
        <w:t>Fitch</w:t>
      </w:r>
      <w:r w:rsidRPr="00BE7097">
        <w:rPr>
          <w:sz w:val="23"/>
          <w:szCs w:val="23"/>
          <w:lang w:val="el-GR"/>
        </w:rPr>
        <w:t>). Τι ακριβώς αξιολογούν και γιατί επηρεάζουν τις αγορές;</w:t>
      </w:r>
    </w:p>
    <w:p w14:paraId="11C7F7D0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Α) </w:t>
      </w:r>
      <w:r w:rsidRPr="00BE7097">
        <w:rPr>
          <w:lang w:val="el-GR"/>
        </w:rPr>
        <w:t>Αξιολογούν τη μελλοντική τιμή της μετοχής με βεβαιότητα.</w:t>
      </w:r>
    </w:p>
    <w:p w14:paraId="3F7AB457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Β) </w:t>
      </w:r>
      <w:r w:rsidRPr="00BE7097">
        <w:rPr>
          <w:lang w:val="el-GR"/>
        </w:rPr>
        <w:t xml:space="preserve">Αξιολογούν την πιστοληπτική ικανότητα (πιθανότητα έγκαιρης εξυπηρέτησης χρέους) κρατών, επιχειρήσεων, τραπεζών και εκδόσεων ομολόγων· με </w:t>
      </w:r>
      <w:r>
        <w:t>outlook</w:t>
      </w:r>
      <w:r w:rsidRPr="00BE7097">
        <w:rPr>
          <w:lang w:val="el-GR"/>
        </w:rPr>
        <w:t>/</w:t>
      </w:r>
      <w:r>
        <w:t>watch</w:t>
      </w:r>
      <w:r w:rsidRPr="00BE7097">
        <w:rPr>
          <w:lang w:val="el-GR"/>
        </w:rPr>
        <w:t xml:space="preserve"> για πιθανή μελλοντική μεταβολή — και έτσι επηρεάζουν το κόστος δανεισμού σε όλες τις αγορές.</w:t>
      </w:r>
    </w:p>
    <w:p w14:paraId="616535E9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Γ) </w:t>
      </w:r>
      <w:r w:rsidRPr="00BE7097">
        <w:rPr>
          <w:lang w:val="el-GR"/>
        </w:rPr>
        <w:t>Καθορίζουν διοικητικά τα επιτόκια των κεντρικών τραπεζών.</w:t>
      </w:r>
    </w:p>
    <w:p w14:paraId="02D2105A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Δ) </w:t>
      </w:r>
      <w:r w:rsidRPr="00BE7097">
        <w:rPr>
          <w:lang w:val="el-GR"/>
        </w:rPr>
        <w:t>Αφορούν μόνο κράτη, ποτέ επιχειρήσεις.</w:t>
      </w:r>
    </w:p>
    <w:p w14:paraId="4FCA04F7" w14:textId="77777777" w:rsidR="000F61A1" w:rsidRPr="00BE7097" w:rsidRDefault="00000000">
      <w:pPr>
        <w:spacing w:before="60" w:after="30"/>
        <w:rPr>
          <w:lang w:val="el-GR"/>
        </w:rPr>
      </w:pPr>
      <w:r w:rsidRPr="00BE7097">
        <w:rPr>
          <w:b/>
          <w:bCs/>
          <w:color w:val="2E7D32"/>
          <w:lang w:val="el-GR"/>
        </w:rPr>
        <w:t>Ορθή απάντηση: Β</w:t>
      </w:r>
    </w:p>
    <w:p w14:paraId="142D6162" w14:textId="77777777" w:rsidR="000F61A1" w:rsidRPr="00BE7097" w:rsidRDefault="00000000">
      <w:pPr>
        <w:spacing w:after="40"/>
        <w:rPr>
          <w:lang w:val="el-GR"/>
        </w:rPr>
      </w:pPr>
      <w:r w:rsidRPr="00BE7097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Οι οίκοι αξιολογούν την πιθανότητα αθέτησης: </w:t>
      </w:r>
      <w:r>
        <w:rPr>
          <w:i/>
          <w:iCs/>
          <w:color w:val="555555"/>
          <w:sz w:val="21"/>
          <w:szCs w:val="21"/>
        </w:rPr>
        <w:t>sovereign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(κράτη), </w:t>
      </w:r>
      <w:r>
        <w:rPr>
          <w:i/>
          <w:iCs/>
          <w:color w:val="555555"/>
          <w:sz w:val="21"/>
          <w:szCs w:val="21"/>
        </w:rPr>
        <w:t>corporate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(επιχειρήσεις), </w:t>
      </w:r>
      <w:r>
        <w:rPr>
          <w:i/>
          <w:iCs/>
          <w:color w:val="555555"/>
          <w:sz w:val="21"/>
          <w:szCs w:val="21"/>
        </w:rPr>
        <w:t>bank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(ανθεκτικότητα ιδρυμάτων), </w:t>
      </w:r>
      <w:r>
        <w:rPr>
          <w:i/>
          <w:iCs/>
          <w:color w:val="555555"/>
          <w:sz w:val="21"/>
          <w:szCs w:val="21"/>
        </w:rPr>
        <w:t>bond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(κίνδυνος συγκεκριμένης έκδοσης), με </w:t>
      </w:r>
      <w:r>
        <w:rPr>
          <w:i/>
          <w:iCs/>
          <w:color w:val="555555"/>
          <w:sz w:val="21"/>
          <w:szCs w:val="21"/>
        </w:rPr>
        <w:t>outlook</w:t>
      </w:r>
      <w:r w:rsidRPr="00BE7097">
        <w:rPr>
          <w:i/>
          <w:iCs/>
          <w:color w:val="555555"/>
          <w:sz w:val="21"/>
          <w:szCs w:val="21"/>
          <w:lang w:val="el-GR"/>
        </w:rPr>
        <w:t>/</w:t>
      </w:r>
      <w:r>
        <w:rPr>
          <w:i/>
          <w:iCs/>
          <w:color w:val="555555"/>
          <w:sz w:val="21"/>
          <w:szCs w:val="21"/>
        </w:rPr>
        <w:t>watch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ως προειδοποίηση πιθανής αναβάθμισης/υποβάθμισης. Δεν προβλέπουν τιμές μετοχών ούτε ορίζουν επιτόκια κεντρικών τραπεζών· εκτιμούν πιστωτικό κίνδυνο. Η σημασία τους: μετατρέπουν την αξιοπιστία σε κόστος χρήματος — μια αξιολόγηση είναι, ουσιαστικά, η «τιμή της εμπιστοσύνης» που η αγορά απαιτεί για να δανείσει.</w:t>
      </w:r>
    </w:p>
    <w:p w14:paraId="2BFDBB6D" w14:textId="77777777" w:rsidR="000F61A1" w:rsidRPr="00BE7097" w:rsidRDefault="00000000">
      <w:pPr>
        <w:spacing w:after="110"/>
        <w:rPr>
          <w:lang w:val="el-GR"/>
        </w:rPr>
      </w:pPr>
      <w:r w:rsidRPr="00BE7097">
        <w:rPr>
          <w:b/>
          <w:bCs/>
          <w:i/>
          <w:iCs/>
          <w:color w:val="8A6D1F"/>
          <w:sz w:val="21"/>
          <w:szCs w:val="21"/>
          <w:lang w:val="el-GR"/>
        </w:rPr>
        <w:t xml:space="preserve">Συσχέτιση με την ύλη: 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Συνδέεται με τη Διάλεξη 2 (πιστωτικός κίνδυνος, </w:t>
      </w:r>
      <w:r>
        <w:rPr>
          <w:i/>
          <w:iCs/>
          <w:color w:val="8A6D1F"/>
          <w:sz w:val="21"/>
          <w:szCs w:val="21"/>
        </w:rPr>
        <w:t>NPLs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Τράπεζας Ελλάδος), τη Διάλεξη 5 (αξιοπιστία ως εργαλείο· </w:t>
      </w:r>
      <w:r>
        <w:rPr>
          <w:i/>
          <w:iCs/>
          <w:color w:val="8A6D1F"/>
          <w:sz w:val="21"/>
          <w:szCs w:val="21"/>
        </w:rPr>
        <w:t>yield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spreads</w:t>
      </w:r>
      <w:r w:rsidRPr="00BE7097">
        <w:rPr>
          <w:i/>
          <w:iCs/>
          <w:color w:val="8A6D1F"/>
          <w:sz w:val="21"/>
          <w:szCs w:val="21"/>
          <w:lang w:val="el-GR"/>
        </w:rPr>
        <w:t>) και την προηγούμενη διάλεξη (τιτλοποίηση/</w:t>
      </w:r>
      <w:r>
        <w:rPr>
          <w:i/>
          <w:iCs/>
          <w:color w:val="8A6D1F"/>
          <w:sz w:val="21"/>
          <w:szCs w:val="21"/>
        </w:rPr>
        <w:t>credit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rating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των πακέτων δανείων — εδώ φαίνεται γιατί η αξιολόγηση του οίκου ήταν τόσο κρίσιμη και τόσο επικίνδυνη όταν αστόχησε).</w:t>
      </w:r>
    </w:p>
    <w:p w14:paraId="400C21BC" w14:textId="77777777" w:rsidR="000F61A1" w:rsidRPr="00BE7097" w:rsidRDefault="00000000">
      <w:pPr>
        <w:keepNext/>
        <w:spacing w:before="180" w:after="60"/>
        <w:rPr>
          <w:lang w:val="el-GR"/>
        </w:rPr>
      </w:pPr>
      <w:r w:rsidRPr="00BE7097">
        <w:rPr>
          <w:b/>
          <w:bCs/>
          <w:sz w:val="23"/>
          <w:szCs w:val="23"/>
          <w:lang w:val="el-GR"/>
        </w:rPr>
        <w:lastRenderedPageBreak/>
        <w:t xml:space="preserve">Ερώτηση 9. </w:t>
      </w:r>
      <w:r w:rsidRPr="00BE7097">
        <w:rPr>
          <w:sz w:val="23"/>
          <w:szCs w:val="23"/>
          <w:lang w:val="el-GR"/>
        </w:rPr>
        <w:t xml:space="preserve">Αν μια εταιρεία υποβαθμιστεί από </w:t>
      </w:r>
      <w:r>
        <w:rPr>
          <w:sz w:val="23"/>
          <w:szCs w:val="23"/>
        </w:rPr>
        <w:t>BBB</w:t>
      </w:r>
      <w:r w:rsidRPr="00BE7097">
        <w:rPr>
          <w:sz w:val="23"/>
          <w:szCs w:val="23"/>
          <w:lang w:val="el-GR"/>
        </w:rPr>
        <w:t xml:space="preserve"> (τελευταία βαθμίδα </w:t>
      </w:r>
      <w:r>
        <w:rPr>
          <w:sz w:val="23"/>
          <w:szCs w:val="23"/>
        </w:rPr>
        <w:t>investment</w:t>
      </w:r>
      <w:r w:rsidRPr="00BE7097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grade</w:t>
      </w:r>
      <w:r w:rsidRPr="00BE7097">
        <w:rPr>
          <w:sz w:val="23"/>
          <w:szCs w:val="23"/>
          <w:lang w:val="el-GR"/>
        </w:rPr>
        <w:t xml:space="preserve">) σε </w:t>
      </w:r>
      <w:r>
        <w:rPr>
          <w:sz w:val="23"/>
          <w:szCs w:val="23"/>
        </w:rPr>
        <w:t>BB</w:t>
      </w:r>
      <w:r w:rsidRPr="00BE7097">
        <w:rPr>
          <w:sz w:val="23"/>
          <w:szCs w:val="23"/>
          <w:lang w:val="el-GR"/>
        </w:rPr>
        <w:t xml:space="preserve"> (</w:t>
      </w:r>
      <w:r>
        <w:rPr>
          <w:sz w:val="23"/>
          <w:szCs w:val="23"/>
        </w:rPr>
        <w:t>high</w:t>
      </w:r>
      <w:r w:rsidRPr="00BE7097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yield</w:t>
      </w:r>
      <w:r w:rsidRPr="00BE7097">
        <w:rPr>
          <w:sz w:val="23"/>
          <w:szCs w:val="23"/>
          <w:lang w:val="el-GR"/>
        </w:rPr>
        <w:t xml:space="preserve">), τι συμβαίνει — και γιατί το όριο </w:t>
      </w:r>
      <w:r>
        <w:rPr>
          <w:sz w:val="23"/>
          <w:szCs w:val="23"/>
        </w:rPr>
        <w:t>investment</w:t>
      </w:r>
      <w:r w:rsidRPr="00BE7097">
        <w:rPr>
          <w:sz w:val="23"/>
          <w:szCs w:val="23"/>
          <w:lang w:val="el-GR"/>
        </w:rPr>
        <w:t>/</w:t>
      </w:r>
      <w:r>
        <w:rPr>
          <w:sz w:val="23"/>
          <w:szCs w:val="23"/>
        </w:rPr>
        <w:t>non</w:t>
      </w:r>
      <w:r w:rsidRPr="00BE7097">
        <w:rPr>
          <w:sz w:val="23"/>
          <w:szCs w:val="23"/>
          <w:lang w:val="el-GR"/>
        </w:rPr>
        <w:t>-</w:t>
      </w:r>
      <w:r>
        <w:rPr>
          <w:sz w:val="23"/>
          <w:szCs w:val="23"/>
        </w:rPr>
        <w:t>investment</w:t>
      </w:r>
      <w:r w:rsidRPr="00BE7097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grade</w:t>
      </w:r>
      <w:r w:rsidRPr="00BE7097">
        <w:rPr>
          <w:sz w:val="23"/>
          <w:szCs w:val="23"/>
          <w:lang w:val="el-GR"/>
        </w:rPr>
        <w:t xml:space="preserve"> είναι τόσο κρίσιμο;</w:t>
      </w:r>
    </w:p>
    <w:p w14:paraId="2C76FAAC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Α) </w:t>
      </w:r>
      <w:r w:rsidRPr="00BE7097">
        <w:rPr>
          <w:lang w:val="el-GR"/>
        </w:rPr>
        <w:t>Τίποτα ουσιαστικό· η αλλαγή είναι καθαρά συμβολική.</w:t>
      </w:r>
    </w:p>
    <w:p w14:paraId="6B7B5600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Β) </w:t>
      </w:r>
      <w:r w:rsidRPr="00BE7097">
        <w:rPr>
          <w:lang w:val="el-GR"/>
        </w:rPr>
        <w:t xml:space="preserve">Χάνει πρόσβαση σε θεσμικούς επενδυτές που επιτρέπεται να κρατούν μόνο </w:t>
      </w:r>
      <w:r>
        <w:t>investment</w:t>
      </w:r>
      <w:r w:rsidRPr="00BE7097">
        <w:rPr>
          <w:lang w:val="el-GR"/>
        </w:rPr>
        <w:t xml:space="preserve"> </w:t>
      </w:r>
      <w:r>
        <w:t>grade</w:t>
      </w:r>
      <w:r w:rsidRPr="00BE7097">
        <w:rPr>
          <w:lang w:val="el-GR"/>
        </w:rPr>
        <w:t xml:space="preserve">, πληρώνει υψηλότερο επιτόκιο, και η μετοχή πιέζεται λόγω αυξημένου </w:t>
      </w:r>
      <w:r>
        <w:t>perceived</w:t>
      </w:r>
      <w:r w:rsidRPr="00BE7097">
        <w:rPr>
          <w:lang w:val="el-GR"/>
        </w:rPr>
        <w:t xml:space="preserve"> </w:t>
      </w:r>
      <w:r>
        <w:t>risk</w:t>
      </w:r>
      <w:r w:rsidRPr="00BE7097">
        <w:rPr>
          <w:lang w:val="el-GR"/>
        </w:rPr>
        <w:t xml:space="preserve"> — το πέρασμα κάτω από το </w:t>
      </w:r>
      <w:r>
        <w:t>BBB</w:t>
      </w:r>
      <w:r w:rsidRPr="00BE7097">
        <w:rPr>
          <w:lang w:val="el-GR"/>
        </w:rPr>
        <w:t>-/</w:t>
      </w:r>
      <w:r>
        <w:t>Baa</w:t>
      </w:r>
      <w:r w:rsidRPr="00BE7097">
        <w:rPr>
          <w:lang w:val="el-GR"/>
        </w:rPr>
        <w:t>3 πυροδοτεί αναγκαστικές πωλήσεις και άνοδο κόστους κεφαλαίου.</w:t>
      </w:r>
    </w:p>
    <w:p w14:paraId="759F1CB5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Γ) </w:t>
      </w:r>
      <w:r w:rsidRPr="00BE7097">
        <w:rPr>
          <w:lang w:val="el-GR"/>
        </w:rPr>
        <w:t>Η εταιρεία αποκτά αυτόματα φθηνότερη χρηματοδότηση.</w:t>
      </w:r>
    </w:p>
    <w:p w14:paraId="741D3C5E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Δ) </w:t>
      </w:r>
      <w:r w:rsidRPr="00BE7097">
        <w:rPr>
          <w:lang w:val="el-GR"/>
        </w:rPr>
        <w:t xml:space="preserve">Το </w:t>
      </w:r>
      <w:r>
        <w:t>rating</w:t>
      </w:r>
      <w:r w:rsidRPr="00BE7097">
        <w:rPr>
          <w:lang w:val="el-GR"/>
        </w:rPr>
        <w:t xml:space="preserve"> δεν επηρεάζει το κόστος δανεισμού.</w:t>
      </w:r>
    </w:p>
    <w:p w14:paraId="20A1E2A7" w14:textId="77777777" w:rsidR="000F61A1" w:rsidRPr="00BE7097" w:rsidRDefault="00000000">
      <w:pPr>
        <w:spacing w:before="60" w:after="30"/>
        <w:rPr>
          <w:lang w:val="el-GR"/>
        </w:rPr>
      </w:pPr>
      <w:r w:rsidRPr="00BE7097">
        <w:rPr>
          <w:b/>
          <w:bCs/>
          <w:color w:val="2E7D32"/>
          <w:lang w:val="el-GR"/>
        </w:rPr>
        <w:t>Ορθή απάντηση: Β</w:t>
      </w:r>
    </w:p>
    <w:p w14:paraId="7D80E7EC" w14:textId="77777777" w:rsidR="000F61A1" w:rsidRPr="00BE7097" w:rsidRDefault="00000000">
      <w:pPr>
        <w:spacing w:after="40"/>
        <w:rPr>
          <w:lang w:val="el-GR"/>
        </w:rPr>
      </w:pPr>
      <w:r w:rsidRPr="00BE7097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Το όριο </w:t>
      </w:r>
      <w:r>
        <w:rPr>
          <w:i/>
          <w:iCs/>
          <w:color w:val="555555"/>
          <w:sz w:val="21"/>
          <w:szCs w:val="21"/>
        </w:rPr>
        <w:t>investment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grade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</w:t>
      </w:r>
      <w:r>
        <w:rPr>
          <w:i/>
          <w:iCs/>
          <w:color w:val="555555"/>
          <w:sz w:val="21"/>
          <w:szCs w:val="21"/>
        </w:rPr>
        <w:t>AAA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έως </w:t>
      </w:r>
      <w:r>
        <w:rPr>
          <w:i/>
          <w:iCs/>
          <w:color w:val="555555"/>
          <w:sz w:val="21"/>
          <w:szCs w:val="21"/>
        </w:rPr>
        <w:t>BBB</w:t>
      </w:r>
      <w:r w:rsidRPr="00BE7097">
        <w:rPr>
          <w:i/>
          <w:iCs/>
          <w:color w:val="555555"/>
          <w:sz w:val="21"/>
          <w:szCs w:val="21"/>
          <w:lang w:val="el-GR"/>
        </w:rPr>
        <w:t>-/</w:t>
      </w:r>
      <w:r>
        <w:rPr>
          <w:i/>
          <w:iCs/>
          <w:color w:val="555555"/>
          <w:sz w:val="21"/>
          <w:szCs w:val="21"/>
        </w:rPr>
        <w:t>Baa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3) έναντι </w:t>
      </w:r>
      <w:r>
        <w:rPr>
          <w:i/>
          <w:iCs/>
          <w:color w:val="555555"/>
          <w:sz w:val="21"/>
          <w:szCs w:val="21"/>
        </w:rPr>
        <w:t>high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yield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</w:t>
      </w:r>
      <w:r>
        <w:rPr>
          <w:i/>
          <w:iCs/>
          <w:color w:val="555555"/>
          <w:sz w:val="21"/>
          <w:szCs w:val="21"/>
        </w:rPr>
        <w:t>BB</w:t>
      </w:r>
      <w:r w:rsidRPr="00BE7097">
        <w:rPr>
          <w:i/>
          <w:iCs/>
          <w:color w:val="555555"/>
          <w:sz w:val="21"/>
          <w:szCs w:val="21"/>
          <w:lang w:val="el-GR"/>
        </w:rPr>
        <w:t>+/</w:t>
      </w:r>
      <w:r>
        <w:rPr>
          <w:i/>
          <w:iCs/>
          <w:color w:val="555555"/>
          <w:sz w:val="21"/>
          <w:szCs w:val="21"/>
        </w:rPr>
        <w:t>Ba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1 και κάτω) δεν είναι απλώς γράμματα: πολλά θεσμικά χαρτοφυλάκια (συντάξεις, ασφαλιστικά) έχουν εντολή να κρατούν μόνο </w:t>
      </w:r>
      <w:r>
        <w:rPr>
          <w:i/>
          <w:iCs/>
          <w:color w:val="555555"/>
          <w:sz w:val="21"/>
          <w:szCs w:val="21"/>
        </w:rPr>
        <w:t>investment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grade</w:t>
      </w:r>
      <w:r w:rsidRPr="00BE7097">
        <w:rPr>
          <w:i/>
          <w:iCs/>
          <w:color w:val="555555"/>
          <w:sz w:val="21"/>
          <w:szCs w:val="21"/>
          <w:lang w:val="el-GR"/>
        </w:rPr>
        <w:t>. Μια υποβάθμιση κάτω από αυτό το κατώφλι («</w:t>
      </w:r>
      <w:r>
        <w:rPr>
          <w:i/>
          <w:iCs/>
          <w:color w:val="555555"/>
          <w:sz w:val="21"/>
          <w:szCs w:val="21"/>
        </w:rPr>
        <w:t>fallen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angel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») αναγκάζει αυτούς τους επενδυτές να πουλήσουν, αυξάνει το </w:t>
      </w:r>
      <w:r>
        <w:rPr>
          <w:i/>
          <w:iCs/>
          <w:color w:val="555555"/>
          <w:sz w:val="21"/>
          <w:szCs w:val="21"/>
        </w:rPr>
        <w:t>spread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δανεισμού, και πιέζει τη μετοχή μέσω υψηλότερου κόστους κεφαλαίου. Έτσι μια αλλαγή μιας βαθμίδας μπορεί να προκαλέσει δυσανάλογη, μη γραμμική αντίδραση — ένα κατώφλι (</w:t>
      </w:r>
      <w:r>
        <w:rPr>
          <w:i/>
          <w:iCs/>
          <w:color w:val="555555"/>
          <w:sz w:val="21"/>
          <w:szCs w:val="21"/>
        </w:rPr>
        <w:t>threshold</w:t>
      </w:r>
      <w:r w:rsidRPr="00BE7097">
        <w:rPr>
          <w:i/>
          <w:iCs/>
          <w:color w:val="555555"/>
          <w:sz w:val="21"/>
          <w:szCs w:val="21"/>
          <w:lang w:val="el-GR"/>
        </w:rPr>
        <w:t>) σε ένα σύνθετο σύστημα.</w:t>
      </w:r>
    </w:p>
    <w:p w14:paraId="554E3EF8" w14:textId="77777777" w:rsidR="000F61A1" w:rsidRPr="00BE7097" w:rsidRDefault="00000000">
      <w:pPr>
        <w:spacing w:after="110"/>
        <w:rPr>
          <w:lang w:val="el-GR"/>
        </w:rPr>
      </w:pPr>
      <w:r w:rsidRPr="00BE7097">
        <w:rPr>
          <w:b/>
          <w:bCs/>
          <w:i/>
          <w:iCs/>
          <w:color w:val="8A6D1F"/>
          <w:sz w:val="21"/>
          <w:szCs w:val="21"/>
          <w:lang w:val="el-GR"/>
        </w:rPr>
        <w:t xml:space="preserve">Συσχέτιση με την ύλη: 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Μη γραμμικά κατώφλια και αυτο-ενισχυόμενες πωλήσεις: γέφυρα με τη Διάλεξη 5 (πολλαπλές ισορροπίες, </w:t>
      </w:r>
      <w:r>
        <w:rPr>
          <w:i/>
          <w:iCs/>
          <w:color w:val="8A6D1F"/>
          <w:sz w:val="21"/>
          <w:szCs w:val="21"/>
        </w:rPr>
        <w:t>Diamond</w:t>
      </w:r>
      <w:r w:rsidRPr="00BE7097">
        <w:rPr>
          <w:i/>
          <w:iCs/>
          <w:color w:val="8A6D1F"/>
          <w:sz w:val="21"/>
          <w:szCs w:val="21"/>
          <w:lang w:val="el-GR"/>
        </w:rPr>
        <w:t>–</w:t>
      </w:r>
      <w:r>
        <w:rPr>
          <w:i/>
          <w:iCs/>
          <w:color w:val="8A6D1F"/>
          <w:sz w:val="21"/>
          <w:szCs w:val="21"/>
        </w:rPr>
        <w:t>Dybvig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— ένα σήμα πυροδοτεί καταρράκτη) και την προηγούμενη διάλεξη (</w:t>
      </w:r>
      <w:r>
        <w:rPr>
          <w:i/>
          <w:iCs/>
          <w:color w:val="8A6D1F"/>
          <w:sz w:val="21"/>
          <w:szCs w:val="21"/>
        </w:rPr>
        <w:t>downgrade</w:t>
      </w:r>
      <w:r w:rsidRPr="00BE7097">
        <w:rPr>
          <w:i/>
          <w:iCs/>
          <w:color w:val="8A6D1F"/>
          <w:sz w:val="21"/>
          <w:szCs w:val="21"/>
          <w:lang w:val="el-GR"/>
        </w:rPr>
        <w:t>→</w:t>
      </w:r>
      <w:r>
        <w:rPr>
          <w:i/>
          <w:iCs/>
          <w:color w:val="8A6D1F"/>
          <w:sz w:val="21"/>
          <w:szCs w:val="21"/>
        </w:rPr>
        <w:t>fire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sales</w:t>
      </w:r>
      <w:r w:rsidRPr="00BE7097">
        <w:rPr>
          <w:i/>
          <w:iCs/>
          <w:color w:val="8A6D1F"/>
          <w:sz w:val="21"/>
          <w:szCs w:val="21"/>
          <w:lang w:val="el-GR"/>
        </w:rPr>
        <w:t>→</w:t>
      </w:r>
      <w:r>
        <w:rPr>
          <w:i/>
          <w:iCs/>
          <w:color w:val="8A6D1F"/>
          <w:sz w:val="21"/>
          <w:szCs w:val="21"/>
        </w:rPr>
        <w:t>credit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crunch</w:t>
      </w:r>
      <w:r w:rsidRPr="00BE7097">
        <w:rPr>
          <w:i/>
          <w:iCs/>
          <w:color w:val="8A6D1F"/>
          <w:sz w:val="21"/>
          <w:szCs w:val="21"/>
          <w:lang w:val="el-GR"/>
        </w:rPr>
        <w:t>). Δείχνει πώς η πιστοληπτική αξιολόγηση μετατρέπεται σε πραγματικό κόστος και συστημική πίεση.</w:t>
      </w:r>
    </w:p>
    <w:p w14:paraId="35D2A236" w14:textId="77777777" w:rsidR="000F61A1" w:rsidRPr="00BE7097" w:rsidRDefault="00000000">
      <w:pPr>
        <w:keepNext/>
        <w:spacing w:before="180" w:after="60"/>
        <w:rPr>
          <w:lang w:val="el-GR"/>
        </w:rPr>
      </w:pPr>
      <w:r w:rsidRPr="00BE7097">
        <w:rPr>
          <w:b/>
          <w:bCs/>
          <w:sz w:val="23"/>
          <w:szCs w:val="23"/>
          <w:lang w:val="el-GR"/>
        </w:rPr>
        <w:t xml:space="preserve">Ερώτηση 10. </w:t>
      </w:r>
      <w:r w:rsidRPr="00BE7097">
        <w:rPr>
          <w:sz w:val="23"/>
          <w:szCs w:val="23"/>
          <w:lang w:val="el-GR"/>
        </w:rPr>
        <w:t xml:space="preserve">Στην ενότητα </w:t>
      </w:r>
      <w:r>
        <w:rPr>
          <w:sz w:val="23"/>
          <w:szCs w:val="23"/>
        </w:rPr>
        <w:t>hedging</w:t>
      </w:r>
      <w:r w:rsidRPr="00BE7097">
        <w:rPr>
          <w:sz w:val="23"/>
          <w:szCs w:val="23"/>
          <w:lang w:val="el-GR"/>
        </w:rPr>
        <w:t>/</w:t>
      </w:r>
      <w:r>
        <w:rPr>
          <w:sz w:val="23"/>
          <w:szCs w:val="23"/>
        </w:rPr>
        <w:t>risk</w:t>
      </w:r>
      <w:r w:rsidRPr="00BE7097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premium</w:t>
      </w:r>
      <w:r w:rsidRPr="00BE7097">
        <w:rPr>
          <w:sz w:val="23"/>
          <w:szCs w:val="23"/>
          <w:lang w:val="el-GR"/>
        </w:rPr>
        <w:t>/</w:t>
      </w:r>
      <w:r>
        <w:rPr>
          <w:sz w:val="23"/>
          <w:szCs w:val="23"/>
        </w:rPr>
        <w:t>beta</w:t>
      </w:r>
      <w:r w:rsidRPr="00BE7097">
        <w:rPr>
          <w:sz w:val="23"/>
          <w:szCs w:val="23"/>
          <w:lang w:val="el-GR"/>
        </w:rPr>
        <w:t xml:space="preserve">, ένας επενδυτής ξεκινά από το </w:t>
      </w:r>
      <w:r>
        <w:rPr>
          <w:sz w:val="23"/>
          <w:szCs w:val="23"/>
        </w:rPr>
        <w:t>risk</w:t>
      </w:r>
      <w:r w:rsidRPr="00BE7097">
        <w:rPr>
          <w:sz w:val="23"/>
          <w:szCs w:val="23"/>
          <w:lang w:val="el-GR"/>
        </w:rPr>
        <w:t>-</w:t>
      </w:r>
      <w:r>
        <w:rPr>
          <w:sz w:val="23"/>
          <w:szCs w:val="23"/>
        </w:rPr>
        <w:t>free</w:t>
      </w:r>
      <w:r w:rsidRPr="00BE7097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rate</w:t>
      </w:r>
      <w:r w:rsidRPr="00BE7097">
        <w:rPr>
          <w:sz w:val="23"/>
          <w:szCs w:val="23"/>
          <w:lang w:val="el-GR"/>
        </w:rPr>
        <w:t xml:space="preserve"> και προσθέτει </w:t>
      </w:r>
      <w:r>
        <w:rPr>
          <w:sz w:val="23"/>
          <w:szCs w:val="23"/>
        </w:rPr>
        <w:t>risk</w:t>
      </w:r>
      <w:r w:rsidRPr="00BE7097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premium</w:t>
      </w:r>
      <w:r w:rsidRPr="00BE7097">
        <w:rPr>
          <w:sz w:val="23"/>
          <w:szCs w:val="23"/>
          <w:lang w:val="el-GR"/>
        </w:rPr>
        <w:t xml:space="preserve">· το </w:t>
      </w:r>
      <w:r>
        <w:rPr>
          <w:sz w:val="23"/>
          <w:szCs w:val="23"/>
        </w:rPr>
        <w:t>beta</w:t>
      </w:r>
      <w:r w:rsidRPr="00BE7097">
        <w:rPr>
          <w:sz w:val="23"/>
          <w:szCs w:val="23"/>
          <w:lang w:val="el-GR"/>
        </w:rPr>
        <w:t xml:space="preserve"> μετρά την ευαισθησία στην αγορά. Ποια διατύπωση είναι σωστή;</w:t>
      </w:r>
    </w:p>
    <w:p w14:paraId="6CA5BD98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Α) </w:t>
      </w:r>
      <w:r>
        <w:t>Beta</w:t>
      </w:r>
      <w:r w:rsidRPr="00BE7097">
        <w:rPr>
          <w:lang w:val="el-GR"/>
        </w:rPr>
        <w:t xml:space="preserve"> &gt; 1 σημαίνει λιγότερο ευμετάβλητη από την αγορά· το </w:t>
      </w:r>
      <w:r>
        <w:t>risk</w:t>
      </w:r>
      <w:r w:rsidRPr="00BE7097">
        <w:rPr>
          <w:lang w:val="el-GR"/>
        </w:rPr>
        <w:t xml:space="preserve"> </w:t>
      </w:r>
      <w:r>
        <w:t>premium</w:t>
      </w:r>
      <w:r w:rsidRPr="00BE7097">
        <w:rPr>
          <w:lang w:val="el-GR"/>
        </w:rPr>
        <w:t xml:space="preserve"> είναι περιττό.</w:t>
      </w:r>
    </w:p>
    <w:p w14:paraId="2D67511A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Β) </w:t>
      </w:r>
      <w:r w:rsidRPr="00BE7097">
        <w:rPr>
          <w:lang w:val="el-GR"/>
        </w:rPr>
        <w:t xml:space="preserve">Το </w:t>
      </w:r>
      <w:r>
        <w:t>risk</w:t>
      </w:r>
      <w:r w:rsidRPr="00BE7097">
        <w:rPr>
          <w:lang w:val="el-GR"/>
        </w:rPr>
        <w:t xml:space="preserve"> </w:t>
      </w:r>
      <w:r>
        <w:t>premium</w:t>
      </w:r>
      <w:r w:rsidRPr="00BE7097">
        <w:rPr>
          <w:lang w:val="el-GR"/>
        </w:rPr>
        <w:t xml:space="preserve"> είναι η πρόσθετη απόδοση για πιστωτικό/πολιτικό/συναλλαγματικό/επιχειρηματικό κίνδυνο πάνω από το </w:t>
      </w:r>
      <w:r>
        <w:t>risk</w:t>
      </w:r>
      <w:r w:rsidRPr="00BE7097">
        <w:rPr>
          <w:lang w:val="el-GR"/>
        </w:rPr>
        <w:t>-</w:t>
      </w:r>
      <w:r>
        <w:t>free</w:t>
      </w:r>
      <w:r w:rsidRPr="00BE7097">
        <w:rPr>
          <w:lang w:val="el-GR"/>
        </w:rPr>
        <w:t xml:space="preserve">· </w:t>
      </w:r>
      <w:r>
        <w:t>beta</w:t>
      </w:r>
      <w:r w:rsidRPr="00BE7097">
        <w:rPr>
          <w:lang w:val="el-GR"/>
        </w:rPr>
        <w:t xml:space="preserve">=1 κινείται με την αγορά, </w:t>
      </w:r>
      <w:r>
        <w:t>beta</w:t>
      </w:r>
      <w:r w:rsidRPr="00BE7097">
        <w:rPr>
          <w:lang w:val="el-GR"/>
        </w:rPr>
        <w:t xml:space="preserve">&gt;1 πιο ευμετάβλητη, </w:t>
      </w:r>
      <w:r>
        <w:t>beta</w:t>
      </w:r>
      <w:r w:rsidRPr="00BE7097">
        <w:rPr>
          <w:lang w:val="el-GR"/>
        </w:rPr>
        <w:t xml:space="preserve">&lt;1 λιγότερο, </w:t>
      </w:r>
      <w:r>
        <w:t>beta</w:t>
      </w:r>
      <w:r w:rsidRPr="00BE7097">
        <w:rPr>
          <w:lang w:val="el-GR"/>
        </w:rPr>
        <w:t xml:space="preserve">&lt;0 αντίθετα (σπάνιο) — και εργαλεία όπως </w:t>
      </w:r>
      <w:r>
        <w:t>diversification</w:t>
      </w:r>
      <w:r w:rsidRPr="00BE7097">
        <w:rPr>
          <w:lang w:val="el-GR"/>
        </w:rPr>
        <w:t xml:space="preserve">, </w:t>
      </w:r>
      <w:r>
        <w:t>CDS</w:t>
      </w:r>
      <w:r w:rsidRPr="00BE7097">
        <w:rPr>
          <w:lang w:val="el-GR"/>
        </w:rPr>
        <w:t xml:space="preserve">, </w:t>
      </w:r>
      <w:r>
        <w:t>swaps</w:t>
      </w:r>
      <w:r w:rsidRPr="00BE7097">
        <w:rPr>
          <w:lang w:val="el-GR"/>
        </w:rPr>
        <w:t xml:space="preserve">, </w:t>
      </w:r>
      <w:r>
        <w:t>FX</w:t>
      </w:r>
      <w:r w:rsidRPr="00BE7097">
        <w:rPr>
          <w:lang w:val="el-GR"/>
        </w:rPr>
        <w:t xml:space="preserve"> </w:t>
      </w:r>
      <w:r>
        <w:t>forwards</w:t>
      </w:r>
      <w:r w:rsidRPr="00BE7097">
        <w:rPr>
          <w:lang w:val="el-GR"/>
        </w:rPr>
        <w:t xml:space="preserve">, </w:t>
      </w:r>
      <w:r>
        <w:t>duration</w:t>
      </w:r>
      <w:r w:rsidRPr="00BE7097">
        <w:rPr>
          <w:lang w:val="el-GR"/>
        </w:rPr>
        <w:t xml:space="preserve"> </w:t>
      </w:r>
      <w:r>
        <w:t>management</w:t>
      </w:r>
      <w:r w:rsidRPr="00BE7097">
        <w:rPr>
          <w:lang w:val="el-GR"/>
        </w:rPr>
        <w:t xml:space="preserve"> αντισταθμίζουν συγκεκριμένους κινδύνους.</w:t>
      </w:r>
    </w:p>
    <w:p w14:paraId="6F9F2709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Γ) </w:t>
      </w:r>
      <w:r w:rsidRPr="00BE7097">
        <w:rPr>
          <w:lang w:val="el-GR"/>
        </w:rPr>
        <w:t xml:space="preserve">Το </w:t>
      </w:r>
      <w:r>
        <w:t>beta</w:t>
      </w:r>
      <w:r w:rsidRPr="00BE7097">
        <w:rPr>
          <w:lang w:val="el-GR"/>
        </w:rPr>
        <w:t xml:space="preserve"> και το </w:t>
      </w:r>
      <w:r>
        <w:t>risk</w:t>
      </w:r>
      <w:r w:rsidRPr="00BE7097">
        <w:rPr>
          <w:lang w:val="el-GR"/>
        </w:rPr>
        <w:t xml:space="preserve"> </w:t>
      </w:r>
      <w:r>
        <w:t>premium</w:t>
      </w:r>
      <w:r w:rsidRPr="00BE7097">
        <w:rPr>
          <w:lang w:val="el-GR"/>
        </w:rPr>
        <w:t xml:space="preserve"> είναι άσχετα με τη διαχείριση κινδύνου.</w:t>
      </w:r>
    </w:p>
    <w:p w14:paraId="47A9873E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Δ) </w:t>
      </w:r>
      <w:r w:rsidRPr="00BE7097">
        <w:rPr>
          <w:lang w:val="el-GR"/>
        </w:rPr>
        <w:t xml:space="preserve">Το </w:t>
      </w:r>
      <w:r>
        <w:t>risk</w:t>
      </w:r>
      <w:r w:rsidRPr="00BE7097">
        <w:rPr>
          <w:lang w:val="el-GR"/>
        </w:rPr>
        <w:t>-</w:t>
      </w:r>
      <w:r>
        <w:t>free</w:t>
      </w:r>
      <w:r w:rsidRPr="00BE7097">
        <w:rPr>
          <w:lang w:val="el-GR"/>
        </w:rPr>
        <w:t xml:space="preserve"> </w:t>
      </w:r>
      <w:r>
        <w:t>rate</w:t>
      </w:r>
      <w:r w:rsidRPr="00BE7097">
        <w:rPr>
          <w:lang w:val="el-GR"/>
        </w:rPr>
        <w:t xml:space="preserve"> περιλαμβάνει ήδη όλους τους κινδύνους.</w:t>
      </w:r>
    </w:p>
    <w:p w14:paraId="4DB642D8" w14:textId="77777777" w:rsidR="000F61A1" w:rsidRPr="00BE7097" w:rsidRDefault="00000000">
      <w:pPr>
        <w:spacing w:before="60" w:after="30"/>
        <w:rPr>
          <w:lang w:val="el-GR"/>
        </w:rPr>
      </w:pPr>
      <w:r w:rsidRPr="00BE7097">
        <w:rPr>
          <w:b/>
          <w:bCs/>
          <w:color w:val="2E7D32"/>
          <w:lang w:val="el-GR"/>
        </w:rPr>
        <w:t>Ορθή απάντηση: Β</w:t>
      </w:r>
    </w:p>
    <w:p w14:paraId="642F32D5" w14:textId="77777777" w:rsidR="000F61A1" w:rsidRPr="00BE7097" w:rsidRDefault="00000000">
      <w:pPr>
        <w:spacing w:after="40"/>
        <w:rPr>
          <w:lang w:val="el-GR"/>
        </w:rPr>
      </w:pPr>
      <w:r w:rsidRPr="00BE7097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BE7097">
        <w:rPr>
          <w:i/>
          <w:iCs/>
          <w:color w:val="555555"/>
          <w:sz w:val="21"/>
          <w:szCs w:val="21"/>
          <w:lang w:val="el-GR"/>
        </w:rPr>
        <w:t>Η λογική της απόδοσης-κινδύνου: ξεκινάς από μια σχεδόν ακίνδυνη απόδοση (ισχυρό κρατικό ομόλογο) και απαιτείς επιπλέον απόδοση (</w:t>
      </w:r>
      <w:r>
        <w:rPr>
          <w:i/>
          <w:iCs/>
          <w:color w:val="555555"/>
          <w:sz w:val="21"/>
          <w:szCs w:val="21"/>
        </w:rPr>
        <w:t>risk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premium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) ανάλογη του κινδύνου που αναλαμβάνεις. Το </w:t>
      </w:r>
      <w:r>
        <w:rPr>
          <w:i/>
          <w:iCs/>
          <w:color w:val="555555"/>
          <w:sz w:val="21"/>
          <w:szCs w:val="21"/>
        </w:rPr>
        <w:t>beta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ποσοτικοποιεί τη συστηματική (μη διαφοροποιήσιμη) ευαισθησία: =1 όπως η αγορά, &gt;1 πιο επιθετική, &lt;1 αμυντική, &lt;0 αντικυκλική (σπάνια, π.χ. χρυσός σε κρίση). Η εργαλειοθήκη αντιστάθμισης ταιριάζει κάθε εργαλείο σε κάθε κίνδυνο: </w:t>
      </w:r>
      <w:r>
        <w:rPr>
          <w:i/>
          <w:iCs/>
          <w:color w:val="555555"/>
          <w:sz w:val="21"/>
          <w:szCs w:val="21"/>
        </w:rPr>
        <w:t>diversification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(συγκέντρωση), </w:t>
      </w:r>
      <w:r>
        <w:rPr>
          <w:i/>
          <w:iCs/>
          <w:color w:val="555555"/>
          <w:sz w:val="21"/>
          <w:szCs w:val="21"/>
        </w:rPr>
        <w:t>CDS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</w:t>
      </w:r>
      <w:r>
        <w:rPr>
          <w:i/>
          <w:iCs/>
          <w:color w:val="555555"/>
          <w:sz w:val="21"/>
          <w:szCs w:val="21"/>
        </w:rPr>
        <w:t>default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), </w:t>
      </w:r>
      <w:r>
        <w:rPr>
          <w:i/>
          <w:iCs/>
          <w:color w:val="555555"/>
          <w:sz w:val="21"/>
          <w:szCs w:val="21"/>
        </w:rPr>
        <w:t>interest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rate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swaps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(επιτόκιο), </w:t>
      </w:r>
      <w:r>
        <w:rPr>
          <w:i/>
          <w:iCs/>
          <w:color w:val="555555"/>
          <w:sz w:val="21"/>
          <w:szCs w:val="21"/>
        </w:rPr>
        <w:t>FX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forwards</w:t>
      </w:r>
      <w:r w:rsidRPr="00BE7097">
        <w:rPr>
          <w:i/>
          <w:iCs/>
          <w:color w:val="555555"/>
          <w:sz w:val="21"/>
          <w:szCs w:val="21"/>
          <w:lang w:val="el-GR"/>
        </w:rPr>
        <w:t>/</w:t>
      </w:r>
      <w:r>
        <w:rPr>
          <w:i/>
          <w:iCs/>
          <w:color w:val="555555"/>
          <w:sz w:val="21"/>
          <w:szCs w:val="21"/>
        </w:rPr>
        <w:t>options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(συνάλλαγμα), </w:t>
      </w:r>
      <w:r>
        <w:rPr>
          <w:i/>
          <w:iCs/>
          <w:color w:val="555555"/>
          <w:sz w:val="21"/>
          <w:szCs w:val="21"/>
        </w:rPr>
        <w:t>duration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management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(άνοδος επιτοκίων), </w:t>
      </w:r>
      <w:r>
        <w:rPr>
          <w:i/>
          <w:iCs/>
          <w:color w:val="555555"/>
          <w:sz w:val="21"/>
          <w:szCs w:val="21"/>
        </w:rPr>
        <w:t>equity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index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futures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(πτώση αγοράς).</w:t>
      </w:r>
    </w:p>
    <w:p w14:paraId="01BDF178" w14:textId="77777777" w:rsidR="000F61A1" w:rsidRPr="00BE7097" w:rsidRDefault="00000000">
      <w:pPr>
        <w:spacing w:after="110"/>
        <w:rPr>
          <w:lang w:val="el-GR"/>
        </w:rPr>
      </w:pPr>
      <w:r w:rsidRPr="00BE7097">
        <w:rPr>
          <w:b/>
          <w:bCs/>
          <w:i/>
          <w:iCs/>
          <w:color w:val="8A6D1F"/>
          <w:sz w:val="21"/>
          <w:szCs w:val="21"/>
          <w:lang w:val="el-GR"/>
        </w:rPr>
        <w:t xml:space="preserve">Συσχέτιση με την ύλη: </w:t>
      </w:r>
      <w:r w:rsidRPr="00BE7097">
        <w:rPr>
          <w:i/>
          <w:iCs/>
          <w:color w:val="8A6D1F"/>
          <w:sz w:val="21"/>
          <w:szCs w:val="21"/>
          <w:lang w:val="el-GR"/>
        </w:rPr>
        <w:t>Ολοκληρώνει το νήμα αντιστάθμισης από τη Διάλεξη 3/4 (</w:t>
      </w:r>
      <w:r>
        <w:rPr>
          <w:i/>
          <w:iCs/>
          <w:color w:val="8A6D1F"/>
          <w:sz w:val="21"/>
          <w:szCs w:val="21"/>
        </w:rPr>
        <w:t>hedging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εισροών), τη Διάλεξη 6 (</w:t>
      </w:r>
      <w:r>
        <w:rPr>
          <w:i/>
          <w:iCs/>
          <w:color w:val="8A6D1F"/>
          <w:sz w:val="21"/>
          <w:szCs w:val="21"/>
        </w:rPr>
        <w:t>futures</w:t>
      </w:r>
      <w:r w:rsidRPr="00BE7097">
        <w:rPr>
          <w:i/>
          <w:iCs/>
          <w:color w:val="8A6D1F"/>
          <w:sz w:val="21"/>
          <w:szCs w:val="21"/>
          <w:lang w:val="el-GR"/>
        </w:rPr>
        <w:t>/</w:t>
      </w:r>
      <w:r>
        <w:rPr>
          <w:i/>
          <w:iCs/>
          <w:color w:val="8A6D1F"/>
          <w:sz w:val="21"/>
          <w:szCs w:val="21"/>
        </w:rPr>
        <w:t>options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, </w:t>
      </w:r>
      <w:r>
        <w:rPr>
          <w:i/>
          <w:iCs/>
          <w:color w:val="8A6D1F"/>
          <w:sz w:val="21"/>
          <w:szCs w:val="21"/>
        </w:rPr>
        <w:t>JIT</w:t>
      </w:r>
      <w:r w:rsidRPr="00BE7097">
        <w:rPr>
          <w:i/>
          <w:iCs/>
          <w:color w:val="8A6D1F"/>
          <w:sz w:val="21"/>
          <w:szCs w:val="21"/>
          <w:lang w:val="el-GR"/>
        </w:rPr>
        <w:t>→</w:t>
      </w:r>
      <w:proofErr w:type="spellStart"/>
      <w:r>
        <w:rPr>
          <w:i/>
          <w:iCs/>
          <w:color w:val="8A6D1F"/>
          <w:sz w:val="21"/>
          <w:szCs w:val="21"/>
        </w:rPr>
        <w:t>JIC</w:t>
      </w:r>
      <w:proofErr w:type="spellEnd"/>
      <w:r w:rsidRPr="00BE7097">
        <w:rPr>
          <w:i/>
          <w:iCs/>
          <w:color w:val="8A6D1F"/>
          <w:sz w:val="21"/>
          <w:szCs w:val="21"/>
          <w:lang w:val="el-GR"/>
        </w:rPr>
        <w:t>) και τη Διάλεξη 7 (</w:t>
      </w:r>
      <w:r>
        <w:rPr>
          <w:i/>
          <w:iCs/>
          <w:color w:val="8A6D1F"/>
          <w:sz w:val="21"/>
          <w:szCs w:val="21"/>
        </w:rPr>
        <w:t>Aegean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fuel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hedging</w:t>
      </w:r>
      <w:r w:rsidRPr="00BE7097">
        <w:rPr>
          <w:i/>
          <w:iCs/>
          <w:color w:val="8A6D1F"/>
          <w:sz w:val="21"/>
          <w:szCs w:val="21"/>
          <w:lang w:val="el-GR"/>
        </w:rPr>
        <w:t>). Η διαφοροποίηση ως μείωση συγκέντρωσης συνδέεται με τη δικτυακή σκέψη (</w:t>
      </w:r>
      <w:r>
        <w:rPr>
          <w:i/>
          <w:iCs/>
          <w:color w:val="8A6D1F"/>
          <w:sz w:val="21"/>
          <w:szCs w:val="21"/>
        </w:rPr>
        <w:t>Glattfelder</w:t>
      </w:r>
      <w:r w:rsidRPr="00BE7097">
        <w:rPr>
          <w:i/>
          <w:iCs/>
          <w:color w:val="8A6D1F"/>
          <w:sz w:val="21"/>
          <w:szCs w:val="21"/>
          <w:lang w:val="el-GR"/>
        </w:rPr>
        <w:t>, Διάλεξη 5/8): ο συστημικός κίνδυνος δεν διαφοροποιείται.</w:t>
      </w:r>
    </w:p>
    <w:p w14:paraId="6EE54522" w14:textId="77777777" w:rsidR="000F61A1" w:rsidRPr="005B0A3C" w:rsidRDefault="00000000">
      <w:pPr>
        <w:keepNext/>
        <w:spacing w:before="180" w:after="60"/>
        <w:rPr>
          <w:lang w:val="el-GR"/>
        </w:rPr>
      </w:pPr>
      <w:r w:rsidRPr="00BE7097">
        <w:rPr>
          <w:b/>
          <w:bCs/>
          <w:sz w:val="23"/>
          <w:szCs w:val="23"/>
          <w:lang w:val="el-GR"/>
        </w:rPr>
        <w:lastRenderedPageBreak/>
        <w:t xml:space="preserve">Ερώτηση 11. </w:t>
      </w:r>
      <w:r w:rsidRPr="00BE7097">
        <w:rPr>
          <w:sz w:val="23"/>
          <w:szCs w:val="23"/>
          <w:lang w:val="el-GR"/>
        </w:rPr>
        <w:t xml:space="preserve">[Σύνθεση — Ρέκβιεμ] «Υπάρχει συνταγή για τη βιωσιμότητα και την ανθεκτικότητα;» </w:t>
      </w:r>
      <w:r w:rsidRPr="005B0A3C">
        <w:rPr>
          <w:sz w:val="23"/>
          <w:szCs w:val="23"/>
          <w:lang w:val="el-GR"/>
        </w:rPr>
        <w:t>Ποια απάντηση συνοψίζει ορθότερα ολόκληρο το μάθημα;</w:t>
      </w:r>
    </w:p>
    <w:p w14:paraId="6C9A2090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Α) </w:t>
      </w:r>
      <w:r w:rsidRPr="00BE7097">
        <w:rPr>
          <w:lang w:val="el-GR"/>
        </w:rPr>
        <w:t>Ναι, μια ενιαία, καθολική συνταγή: ελαχιστοποίηση κόστους και μεγιστοποίηση μεγέθους.</w:t>
      </w:r>
    </w:p>
    <w:p w14:paraId="6FE024C7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Β) </w:t>
      </w:r>
      <w:r w:rsidRPr="00BE7097">
        <w:rPr>
          <w:lang w:val="el-GR"/>
        </w:rPr>
        <w:t xml:space="preserve">Δεν υπάρχει ενιαία συνταγή ούτε μονοσήμαντη πρόβλεψη· υπάρχει μια αρχή — η επιχείρηση ως προσαρμοστική διαδικασία μέσα σε έναν σύνθετο, διασυνδεδεμένο ιστό, που μετατρέπει την αβεβαιότητα σε προσαρμοστικότητα μέσω πελατοκεντρικότητας, </w:t>
      </w:r>
      <w:r>
        <w:t>brand</w:t>
      </w:r>
      <w:r w:rsidRPr="00BE7097">
        <w:rPr>
          <w:lang w:val="el-GR"/>
        </w:rPr>
        <w:t xml:space="preserve"> </w:t>
      </w:r>
      <w:r>
        <w:t>equity</w:t>
      </w:r>
      <w:r w:rsidRPr="00BE7097">
        <w:rPr>
          <w:lang w:val="el-GR"/>
        </w:rPr>
        <w:t xml:space="preserve">, ευθυγραμμισμένων </w:t>
      </w:r>
      <w:r>
        <w:t>stakeholders</w:t>
      </w:r>
      <w:r w:rsidRPr="00BE7097">
        <w:rPr>
          <w:lang w:val="el-GR"/>
        </w:rPr>
        <w:t>, αντιστάθμισης και βιωσιμότητας — με τη δομή να ακολουθεί τον κυρίαρχο κίνδυνο.</w:t>
      </w:r>
    </w:p>
    <w:p w14:paraId="04EFD8DD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Γ) </w:t>
      </w:r>
      <w:r w:rsidRPr="00BE7097">
        <w:rPr>
          <w:lang w:val="el-GR"/>
        </w:rPr>
        <w:t>Η ανθεκτικότητα είναι θέμα τύχης και δεν διαχειρίζεται.</w:t>
      </w:r>
    </w:p>
    <w:p w14:paraId="005F3F6D" w14:textId="77777777" w:rsidR="000F61A1" w:rsidRPr="00BE7097" w:rsidRDefault="00000000">
      <w:pPr>
        <w:spacing w:after="30"/>
        <w:ind w:left="480"/>
        <w:rPr>
          <w:lang w:val="el-GR"/>
        </w:rPr>
      </w:pPr>
      <w:r w:rsidRPr="00BE7097">
        <w:rPr>
          <w:b/>
          <w:bCs/>
          <w:lang w:val="el-GR"/>
        </w:rPr>
        <w:t xml:space="preserve">Δ) </w:t>
      </w:r>
      <w:r w:rsidRPr="00BE7097">
        <w:rPr>
          <w:lang w:val="el-GR"/>
        </w:rPr>
        <w:t>Αρκεί η βελτιστοποίηση ενός δείκτη για κάθε επιχείρηση.</w:t>
      </w:r>
    </w:p>
    <w:p w14:paraId="6110E15B" w14:textId="77777777" w:rsidR="000F61A1" w:rsidRPr="00BE7097" w:rsidRDefault="00000000">
      <w:pPr>
        <w:spacing w:before="60" w:after="30"/>
        <w:rPr>
          <w:lang w:val="el-GR"/>
        </w:rPr>
      </w:pPr>
      <w:r w:rsidRPr="00BE7097">
        <w:rPr>
          <w:b/>
          <w:bCs/>
          <w:color w:val="2E7D32"/>
          <w:lang w:val="el-GR"/>
        </w:rPr>
        <w:t>Ορθή απάντηση: Β</w:t>
      </w:r>
    </w:p>
    <w:p w14:paraId="5FA25911" w14:textId="77777777" w:rsidR="000F61A1" w:rsidRPr="00BE7097" w:rsidRDefault="00000000">
      <w:pPr>
        <w:spacing w:after="40"/>
        <w:rPr>
          <w:lang w:val="el-GR"/>
        </w:rPr>
      </w:pPr>
      <w:r w:rsidRPr="00BE7097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Το ρέκβιεμ του μαθήματος. Η «συνταγή» δεν είναι ένας τύπος αλλά μια στάση: σε ένα σύνθετο προσαρμοστικό σύστημα δεν προβλέπεις, προσαρμόζεσαι. </w:t>
      </w:r>
      <w:r>
        <w:rPr>
          <w:i/>
          <w:iCs/>
          <w:color w:val="555555"/>
          <w:sz w:val="21"/>
          <w:szCs w:val="21"/>
        </w:rPr>
        <w:t>Inditex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και </w:t>
      </w:r>
      <w:r>
        <w:rPr>
          <w:i/>
          <w:iCs/>
          <w:color w:val="555555"/>
          <w:sz w:val="21"/>
          <w:szCs w:val="21"/>
        </w:rPr>
        <w:t>IKEA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δείχνουν δύο διαφορετικές δομές που υπηρετούν την ίδια αρχή — πελατοκεντρική ανάγνωση της ζήτησης από κάτω προς τα πάνω, </w:t>
      </w:r>
      <w:r>
        <w:rPr>
          <w:i/>
          <w:iCs/>
          <w:color w:val="555555"/>
          <w:sz w:val="21"/>
          <w:szCs w:val="21"/>
        </w:rPr>
        <w:t>brand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equity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ως κεφάλαιο εμπιστοσύνης, υψηλό </w:t>
      </w:r>
      <w:r>
        <w:rPr>
          <w:i/>
          <w:iCs/>
          <w:color w:val="555555"/>
          <w:sz w:val="21"/>
          <w:szCs w:val="21"/>
        </w:rPr>
        <w:t>consumer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surplus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, ευθυγραμμισμένα συμφέροντα </w:t>
      </w:r>
      <w:r>
        <w:rPr>
          <w:i/>
          <w:iCs/>
          <w:color w:val="555555"/>
          <w:sz w:val="21"/>
          <w:szCs w:val="21"/>
        </w:rPr>
        <w:t>stakeholders</w:t>
      </w:r>
      <w:r w:rsidRPr="00BE7097">
        <w:rPr>
          <w:i/>
          <w:iCs/>
          <w:color w:val="555555"/>
          <w:sz w:val="21"/>
          <w:szCs w:val="21"/>
          <w:lang w:val="el-GR"/>
        </w:rPr>
        <w:t xml:space="preserve">, βιωσιμότητα ως μέρος του μοντέλου (όχι </w:t>
      </w:r>
      <w:r>
        <w:rPr>
          <w:i/>
          <w:iCs/>
          <w:color w:val="555555"/>
          <w:sz w:val="21"/>
          <w:szCs w:val="21"/>
        </w:rPr>
        <w:t>CSR</w:t>
      </w:r>
      <w:r w:rsidRPr="00BE7097">
        <w:rPr>
          <w:i/>
          <w:iCs/>
          <w:color w:val="555555"/>
          <w:sz w:val="21"/>
          <w:szCs w:val="21"/>
          <w:lang w:val="el-GR"/>
        </w:rPr>
        <w:t>), και αντιστάθμιση/διαφοροποίηση έναντι συγκεκριμένων κινδύνων αγοράς. Η υπερβολική βελτιστοποίηση ενός μεγέθους παράγει ευθραυστότητα· η σκόπιμη πλεονασματικότητα και η προσαρμοστικότητα παράγουν ανθεκτικότητα. Η δομή ακολουθεί τον κυρίαρχο κίνδυνο — δεν υπάρχει «ένα μέγεθος για όλους».</w:t>
      </w:r>
    </w:p>
    <w:p w14:paraId="723FD6CF" w14:textId="77777777" w:rsidR="000F61A1" w:rsidRPr="00BE7097" w:rsidRDefault="00000000">
      <w:pPr>
        <w:spacing w:after="110"/>
        <w:rPr>
          <w:lang w:val="el-GR"/>
        </w:rPr>
      </w:pPr>
      <w:r w:rsidRPr="00BE7097">
        <w:rPr>
          <w:b/>
          <w:bCs/>
          <w:i/>
          <w:iCs/>
          <w:color w:val="8A6D1F"/>
          <w:sz w:val="21"/>
          <w:szCs w:val="21"/>
          <w:lang w:val="el-GR"/>
        </w:rPr>
        <w:t xml:space="preserve">Συσχέτιση με την ύλη: 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Η τελική σύνθεση δένει ΟΛΟ το μάθημα: σύνθετο </w:t>
      </w:r>
      <w:r>
        <w:rPr>
          <w:i/>
          <w:iCs/>
          <w:color w:val="8A6D1F"/>
          <w:sz w:val="21"/>
          <w:szCs w:val="21"/>
        </w:rPr>
        <w:t>vs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περίπλοκο (Δ1/Δ5), </w:t>
      </w:r>
      <w:r>
        <w:rPr>
          <w:i/>
          <w:iCs/>
          <w:color w:val="8A6D1F"/>
          <w:sz w:val="21"/>
          <w:szCs w:val="21"/>
        </w:rPr>
        <w:t>animal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spirits</w:t>
      </w:r>
      <w:r w:rsidRPr="00BE7097">
        <w:rPr>
          <w:i/>
          <w:iCs/>
          <w:color w:val="8A6D1F"/>
          <w:sz w:val="21"/>
          <w:szCs w:val="21"/>
          <w:lang w:val="el-GR"/>
        </w:rPr>
        <w:t>/</w:t>
      </w:r>
      <w:r>
        <w:rPr>
          <w:i/>
          <w:iCs/>
          <w:color w:val="8A6D1F"/>
          <w:sz w:val="21"/>
          <w:szCs w:val="21"/>
        </w:rPr>
        <w:t>reflexivity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(Δ1), </w:t>
      </w:r>
      <w:r>
        <w:rPr>
          <w:i/>
          <w:iCs/>
          <w:color w:val="8A6D1F"/>
          <w:sz w:val="21"/>
          <w:szCs w:val="21"/>
        </w:rPr>
        <w:t>risk</w:t>
      </w:r>
      <w:r w:rsidRPr="00BE7097">
        <w:rPr>
          <w:i/>
          <w:iCs/>
          <w:color w:val="8A6D1F"/>
          <w:sz w:val="21"/>
          <w:szCs w:val="21"/>
          <w:lang w:val="el-GR"/>
        </w:rPr>
        <w:t>-</w:t>
      </w:r>
      <w:r>
        <w:rPr>
          <w:i/>
          <w:iCs/>
          <w:color w:val="8A6D1F"/>
          <w:sz w:val="21"/>
          <w:szCs w:val="21"/>
        </w:rPr>
        <w:t>adjusted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optimisation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&amp; μόχλευση (Δ4), προσαρμογή αντί πρόβλεψης &amp; δίκτυα (Δ5), </w:t>
      </w:r>
      <w:r>
        <w:rPr>
          <w:i/>
          <w:iCs/>
          <w:color w:val="8A6D1F"/>
          <w:sz w:val="21"/>
          <w:szCs w:val="21"/>
        </w:rPr>
        <w:t>grey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rhinos</w:t>
      </w:r>
      <w:r w:rsidRPr="00BE7097">
        <w:rPr>
          <w:i/>
          <w:iCs/>
          <w:color w:val="8A6D1F"/>
          <w:sz w:val="21"/>
          <w:szCs w:val="21"/>
          <w:lang w:val="el-GR"/>
        </w:rPr>
        <w:t>/</w:t>
      </w:r>
      <w:proofErr w:type="spellStart"/>
      <w:r>
        <w:rPr>
          <w:i/>
          <w:iCs/>
          <w:color w:val="8A6D1F"/>
          <w:sz w:val="21"/>
          <w:szCs w:val="21"/>
        </w:rPr>
        <w:t>ESG</w:t>
      </w:r>
      <w:proofErr w:type="spellEnd"/>
      <w:r w:rsidRPr="00BE7097">
        <w:rPr>
          <w:i/>
          <w:iCs/>
          <w:color w:val="8A6D1F"/>
          <w:sz w:val="21"/>
          <w:szCs w:val="21"/>
          <w:lang w:val="el-GR"/>
        </w:rPr>
        <w:t>/</w:t>
      </w:r>
      <w:r>
        <w:rPr>
          <w:i/>
          <w:iCs/>
          <w:color w:val="8A6D1F"/>
          <w:sz w:val="21"/>
          <w:szCs w:val="21"/>
        </w:rPr>
        <w:t>JIT</w:t>
      </w:r>
      <w:r w:rsidRPr="00BE7097">
        <w:rPr>
          <w:i/>
          <w:iCs/>
          <w:color w:val="8A6D1F"/>
          <w:sz w:val="21"/>
          <w:szCs w:val="21"/>
          <w:lang w:val="el-GR"/>
        </w:rPr>
        <w:t>→</w:t>
      </w:r>
      <w:proofErr w:type="spellStart"/>
      <w:r>
        <w:rPr>
          <w:i/>
          <w:iCs/>
          <w:color w:val="8A6D1F"/>
          <w:sz w:val="21"/>
          <w:szCs w:val="21"/>
        </w:rPr>
        <w:t>JIC</w:t>
      </w:r>
      <w:proofErr w:type="spellEnd"/>
      <w:r w:rsidRPr="00BE7097">
        <w:rPr>
          <w:i/>
          <w:iCs/>
          <w:color w:val="8A6D1F"/>
          <w:sz w:val="21"/>
          <w:szCs w:val="21"/>
          <w:lang w:val="el-GR"/>
        </w:rPr>
        <w:t xml:space="preserve"> (Δ6), </w:t>
      </w:r>
      <w:r>
        <w:rPr>
          <w:i/>
          <w:iCs/>
          <w:color w:val="8A6D1F"/>
          <w:sz w:val="21"/>
          <w:szCs w:val="21"/>
        </w:rPr>
        <w:t>consumer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surplus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&amp; ευθυγραμμισμένα συμφέροντα (Δ7), δίκτυο ελέγχου &amp; ονομαστικά/πραγματικά (Δ8), τα δύο </w:t>
      </w:r>
      <w:r>
        <w:rPr>
          <w:i/>
          <w:iCs/>
          <w:color w:val="8A6D1F"/>
          <w:sz w:val="21"/>
          <w:szCs w:val="21"/>
        </w:rPr>
        <w:t>case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(</w:t>
      </w:r>
      <w:r>
        <w:rPr>
          <w:i/>
          <w:iCs/>
          <w:color w:val="8A6D1F"/>
          <w:sz w:val="21"/>
          <w:szCs w:val="21"/>
        </w:rPr>
        <w:t>IKEA</w:t>
      </w:r>
      <w:r w:rsidRPr="00BE7097">
        <w:rPr>
          <w:i/>
          <w:iCs/>
          <w:color w:val="8A6D1F"/>
          <w:sz w:val="21"/>
          <w:szCs w:val="21"/>
          <w:lang w:val="el-GR"/>
        </w:rPr>
        <w:t>/</w:t>
      </w:r>
      <w:r>
        <w:rPr>
          <w:i/>
          <w:iCs/>
          <w:color w:val="8A6D1F"/>
          <w:sz w:val="21"/>
          <w:szCs w:val="21"/>
        </w:rPr>
        <w:t>Inditex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), η συγκριτική κρίση (προηγούμενη διάλεξη) και η δική σας έρευνα για το </w:t>
      </w:r>
      <w:r>
        <w:rPr>
          <w:i/>
          <w:iCs/>
          <w:color w:val="8A6D1F"/>
          <w:sz w:val="21"/>
          <w:szCs w:val="21"/>
        </w:rPr>
        <w:t>brand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</w:t>
      </w:r>
      <w:r>
        <w:rPr>
          <w:i/>
          <w:iCs/>
          <w:color w:val="8A6D1F"/>
          <w:sz w:val="21"/>
          <w:szCs w:val="21"/>
        </w:rPr>
        <w:t>equity</w:t>
      </w:r>
      <w:r w:rsidRPr="00BE7097">
        <w:rPr>
          <w:i/>
          <w:iCs/>
          <w:color w:val="8A6D1F"/>
          <w:sz w:val="21"/>
          <w:szCs w:val="21"/>
          <w:lang w:val="el-GR"/>
        </w:rPr>
        <w:t xml:space="preserve"> ως θεσμική εμπιστοσύνη.</w:t>
      </w:r>
    </w:p>
    <w:p w14:paraId="1620CA26" w14:textId="77777777" w:rsidR="000F61A1" w:rsidRPr="00BE7097" w:rsidRDefault="00000000">
      <w:pPr>
        <w:pBdr>
          <w:bottom w:val="single" w:sz="6" w:space="4" w:color="1F4E79"/>
        </w:pBdr>
        <w:spacing w:before="260" w:after="120"/>
        <w:rPr>
          <w:lang w:val="el-GR"/>
        </w:rPr>
      </w:pPr>
      <w:r w:rsidRPr="00BE7097">
        <w:rPr>
          <w:b/>
          <w:bCs/>
          <w:color w:val="1F4E79"/>
          <w:sz w:val="25"/>
          <w:szCs w:val="25"/>
          <w:lang w:val="el-GR"/>
        </w:rPr>
        <w:t>Συνοπτικό κλειδί απαντήσεων</w:t>
      </w:r>
    </w:p>
    <w:p w14:paraId="02F7CC88" w14:textId="77777777" w:rsidR="000F61A1" w:rsidRPr="00BE7097" w:rsidRDefault="00000000">
      <w:pPr>
        <w:rPr>
          <w:lang w:val="el-GR"/>
        </w:rPr>
      </w:pPr>
      <w:r w:rsidRPr="00BE7097">
        <w:rPr>
          <w:lang w:val="el-GR"/>
        </w:rPr>
        <w:t>1:Β   ·   2:Β   ·   3:Β   ·   4:Β   ·   5:Β   ·   6:Β   ·   7:Β   ·   8:Β   ·   9:Β   ·   10:Β   ·   11:Β</w:t>
      </w:r>
    </w:p>
    <w:sectPr w:rsidR="000F61A1" w:rsidRPr="00BE7097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C7E34"/>
    <w:multiLevelType w:val="hybridMultilevel"/>
    <w:tmpl w:val="AFDADE76"/>
    <w:lvl w:ilvl="0" w:tplc="CF6CE6C6">
      <w:start w:val="1"/>
      <w:numFmt w:val="bullet"/>
      <w:lvlText w:val="●"/>
      <w:lvlJc w:val="left"/>
      <w:pPr>
        <w:ind w:left="720" w:hanging="360"/>
      </w:pPr>
    </w:lvl>
    <w:lvl w:ilvl="1" w:tplc="FA565F12">
      <w:start w:val="1"/>
      <w:numFmt w:val="bullet"/>
      <w:lvlText w:val="○"/>
      <w:lvlJc w:val="left"/>
      <w:pPr>
        <w:ind w:left="1440" w:hanging="360"/>
      </w:pPr>
    </w:lvl>
    <w:lvl w:ilvl="2" w:tplc="D26E7946">
      <w:start w:val="1"/>
      <w:numFmt w:val="bullet"/>
      <w:lvlText w:val="■"/>
      <w:lvlJc w:val="left"/>
      <w:pPr>
        <w:ind w:left="2160" w:hanging="360"/>
      </w:pPr>
    </w:lvl>
    <w:lvl w:ilvl="3" w:tplc="EBB63740">
      <w:start w:val="1"/>
      <w:numFmt w:val="bullet"/>
      <w:lvlText w:val="●"/>
      <w:lvlJc w:val="left"/>
      <w:pPr>
        <w:ind w:left="2880" w:hanging="360"/>
      </w:pPr>
    </w:lvl>
    <w:lvl w:ilvl="4" w:tplc="EB8CDA76">
      <w:start w:val="1"/>
      <w:numFmt w:val="bullet"/>
      <w:lvlText w:val="○"/>
      <w:lvlJc w:val="left"/>
      <w:pPr>
        <w:ind w:left="3600" w:hanging="360"/>
      </w:pPr>
    </w:lvl>
    <w:lvl w:ilvl="5" w:tplc="A3325DC4">
      <w:start w:val="1"/>
      <w:numFmt w:val="bullet"/>
      <w:lvlText w:val="■"/>
      <w:lvlJc w:val="left"/>
      <w:pPr>
        <w:ind w:left="4320" w:hanging="360"/>
      </w:pPr>
    </w:lvl>
    <w:lvl w:ilvl="6" w:tplc="B6543324">
      <w:start w:val="1"/>
      <w:numFmt w:val="bullet"/>
      <w:lvlText w:val="●"/>
      <w:lvlJc w:val="left"/>
      <w:pPr>
        <w:ind w:left="5040" w:hanging="360"/>
      </w:pPr>
    </w:lvl>
    <w:lvl w:ilvl="7" w:tplc="3A820874">
      <w:start w:val="1"/>
      <w:numFmt w:val="bullet"/>
      <w:lvlText w:val="●"/>
      <w:lvlJc w:val="left"/>
      <w:pPr>
        <w:ind w:left="5760" w:hanging="360"/>
      </w:pPr>
    </w:lvl>
    <w:lvl w:ilvl="8" w:tplc="8E50FE1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395C1E"/>
    <w:multiLevelType w:val="hybridMultilevel"/>
    <w:tmpl w:val="53D0B304"/>
    <w:lvl w:ilvl="0" w:tplc="531487C8">
      <w:start w:val="1"/>
      <w:numFmt w:val="bullet"/>
      <w:lvlText w:val="•"/>
      <w:lvlJc w:val="left"/>
      <w:pPr>
        <w:ind w:left="460" w:hanging="280"/>
      </w:pPr>
    </w:lvl>
    <w:lvl w:ilvl="1" w:tplc="AC9669DE">
      <w:numFmt w:val="decimal"/>
      <w:lvlText w:val=""/>
      <w:lvlJc w:val="left"/>
    </w:lvl>
    <w:lvl w:ilvl="2" w:tplc="DD86E976">
      <w:numFmt w:val="decimal"/>
      <w:lvlText w:val=""/>
      <w:lvlJc w:val="left"/>
    </w:lvl>
    <w:lvl w:ilvl="3" w:tplc="E920FBA8">
      <w:numFmt w:val="decimal"/>
      <w:lvlText w:val=""/>
      <w:lvlJc w:val="left"/>
    </w:lvl>
    <w:lvl w:ilvl="4" w:tplc="0B505F94">
      <w:numFmt w:val="decimal"/>
      <w:lvlText w:val=""/>
      <w:lvlJc w:val="left"/>
    </w:lvl>
    <w:lvl w:ilvl="5" w:tplc="414086A6">
      <w:numFmt w:val="decimal"/>
      <w:lvlText w:val=""/>
      <w:lvlJc w:val="left"/>
    </w:lvl>
    <w:lvl w:ilvl="6" w:tplc="EF7891C6">
      <w:numFmt w:val="decimal"/>
      <w:lvlText w:val=""/>
      <w:lvlJc w:val="left"/>
    </w:lvl>
    <w:lvl w:ilvl="7" w:tplc="E590531C">
      <w:numFmt w:val="decimal"/>
      <w:lvlText w:val=""/>
      <w:lvlJc w:val="left"/>
    </w:lvl>
    <w:lvl w:ilvl="8" w:tplc="B6DA4FE6">
      <w:numFmt w:val="decimal"/>
      <w:lvlText w:val=""/>
      <w:lvlJc w:val="left"/>
    </w:lvl>
  </w:abstractNum>
  <w:num w:numId="1" w16cid:durableId="984243282">
    <w:abstractNumId w:val="0"/>
    <w:lvlOverride w:ilvl="0">
      <w:startOverride w:val="1"/>
    </w:lvlOverride>
  </w:num>
  <w:num w:numId="2" w16cid:durableId="100178417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1A1"/>
    <w:rsid w:val="000F61A1"/>
    <w:rsid w:val="00126CC7"/>
    <w:rsid w:val="005B0A3C"/>
    <w:rsid w:val="007A6712"/>
    <w:rsid w:val="00BE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9549B"/>
  <w15:docId w15:val="{D0A965AD-37E1-4A74-A23A-EC2616B6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2785</Words>
  <Characters>15877</Characters>
  <Application>Microsoft Office Word</Application>
  <DocSecurity>0</DocSecurity>
  <Lines>132</Lines>
  <Paragraphs>37</Paragraphs>
  <ScaleCrop>false</ScaleCrop>
  <Company/>
  <LinksUpToDate>false</LinksUpToDate>
  <CharactersWithSpaces>18625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DIMITRIOS KAMPIS</cp:lastModifiedBy>
  <cp:revision>2</cp:revision>
  <dcterms:created xsi:type="dcterms:W3CDTF">2026-05-31T21:08:00Z</dcterms:created>
  <dcterms:modified xsi:type="dcterms:W3CDTF">2026-05-31T21:08:00Z</dcterms:modified>
</cp:coreProperties>
</file>