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49843" w14:textId="77777777" w:rsidR="00FE0D81" w:rsidRPr="00242CC2" w:rsidRDefault="00000000">
      <w:pPr>
        <w:spacing w:after="60"/>
        <w:jc w:val="center"/>
        <w:rPr>
          <w:lang w:val="el-GR"/>
        </w:rPr>
      </w:pPr>
      <w:r w:rsidRPr="00242CC2">
        <w:rPr>
          <w:b/>
          <w:bCs/>
          <w:color w:val="1F4E79"/>
          <w:sz w:val="30"/>
          <w:szCs w:val="30"/>
          <w:lang w:val="el-GR"/>
        </w:rPr>
        <w:t>ΟΙΚΟΝΟΜΙΚΗ ΤΩΝ ΕΠΙΧΕΙΡΗΣΕΩΝ (</w:t>
      </w:r>
      <w:r>
        <w:rPr>
          <w:b/>
          <w:bCs/>
          <w:color w:val="1F4E79"/>
          <w:sz w:val="30"/>
          <w:szCs w:val="30"/>
        </w:rPr>
        <w:t>MANAGERIAL</w:t>
      </w:r>
      <w:r w:rsidRPr="00242CC2">
        <w:rPr>
          <w:b/>
          <w:bCs/>
          <w:color w:val="1F4E79"/>
          <w:sz w:val="30"/>
          <w:szCs w:val="30"/>
          <w:lang w:val="el-GR"/>
        </w:rPr>
        <w:t xml:space="preserve"> </w:t>
      </w:r>
      <w:r>
        <w:rPr>
          <w:b/>
          <w:bCs/>
          <w:color w:val="1F4E79"/>
          <w:sz w:val="30"/>
          <w:szCs w:val="30"/>
        </w:rPr>
        <w:t>ECONOMICS</w:t>
      </w:r>
      <w:r w:rsidRPr="00242CC2">
        <w:rPr>
          <w:b/>
          <w:bCs/>
          <w:color w:val="1F4E79"/>
          <w:sz w:val="30"/>
          <w:szCs w:val="30"/>
          <w:lang w:val="el-GR"/>
        </w:rPr>
        <w:t>)</w:t>
      </w:r>
    </w:p>
    <w:p w14:paraId="6DA23F78" w14:textId="77777777" w:rsidR="00FE0D81" w:rsidRPr="00242CC2" w:rsidRDefault="00000000">
      <w:pPr>
        <w:spacing w:after="40"/>
        <w:jc w:val="center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>Διάλεξη 8 — Εργαλεία &amp; Στρατηγικές Διαχείρισης Συστημικών Κινδύνων · Τράπεζα Κριτικών Ερωτήσεων Πολλαπλής Επιλογής</w:t>
      </w:r>
    </w:p>
    <w:p w14:paraId="0469C579" w14:textId="77777777" w:rsidR="00FE0D81" w:rsidRPr="00242CC2" w:rsidRDefault="00000000">
      <w:pPr>
        <w:pBdr>
          <w:bottom w:val="single" w:sz="12" w:space="6" w:color="1F4E79"/>
        </w:pBdr>
        <w:spacing w:after="240"/>
        <w:jc w:val="center"/>
        <w:rPr>
          <w:lang w:val="el-GR"/>
        </w:rPr>
      </w:pPr>
      <w:r w:rsidRPr="00242CC2">
        <w:rPr>
          <w:i/>
          <w:iCs/>
          <w:color w:val="555555"/>
          <w:lang w:val="el-GR"/>
        </w:rPr>
        <w:t>Διδάσκων: Δημήτρης Κάμπης · 8 Μαΐου 2026</w:t>
      </w:r>
    </w:p>
    <w:p w14:paraId="68C97591" w14:textId="77777777" w:rsidR="00FE0D81" w:rsidRPr="00242CC2" w:rsidRDefault="00000000">
      <w:pPr>
        <w:spacing w:after="120"/>
        <w:rPr>
          <w:lang w:val="el-GR"/>
        </w:rPr>
      </w:pPr>
      <w:r w:rsidRPr="00242CC2">
        <w:rPr>
          <w:b/>
          <w:bCs/>
          <w:color w:val="1F4E79"/>
          <w:sz w:val="24"/>
          <w:szCs w:val="24"/>
          <w:lang w:val="el-GR"/>
        </w:rPr>
        <w:t>Σημείωμα σχεδιασμού</w:t>
      </w:r>
    </w:p>
    <w:p w14:paraId="67F67AF0" w14:textId="77777777" w:rsidR="00FE0D81" w:rsidRPr="00242CC2" w:rsidRDefault="00000000">
      <w:pPr>
        <w:pStyle w:val="ListParagraph"/>
        <w:numPr>
          <w:ilvl w:val="0"/>
          <w:numId w:val="2"/>
        </w:numPr>
        <w:spacing w:after="80"/>
        <w:rPr>
          <w:lang w:val="el-GR"/>
        </w:rPr>
      </w:pPr>
      <w:r w:rsidRPr="00242CC2">
        <w:rPr>
          <w:lang w:val="el-GR"/>
        </w:rPr>
        <w:t>Αντλούν από το συνδυασμένο υλικό: πειθαρχία εύρους («</w:t>
      </w:r>
      <w:r>
        <w:t>bigger</w:t>
      </w:r>
      <w:r w:rsidRPr="00242CC2">
        <w:rPr>
          <w:lang w:val="el-GR"/>
        </w:rPr>
        <w:t xml:space="preserve"> </w:t>
      </w:r>
      <w:r>
        <w:t>isn</w:t>
      </w:r>
      <w:r w:rsidRPr="00242CC2">
        <w:rPr>
          <w:lang w:val="el-GR"/>
        </w:rPr>
        <w:t>'</w:t>
      </w:r>
      <w:r>
        <w:t>t</w:t>
      </w:r>
      <w:r w:rsidRPr="00242CC2">
        <w:rPr>
          <w:lang w:val="el-GR"/>
        </w:rPr>
        <w:t xml:space="preserve"> </w:t>
      </w:r>
      <w:r>
        <w:t>better</w:t>
      </w:r>
      <w:r w:rsidRPr="00242CC2">
        <w:rPr>
          <w:lang w:val="el-GR"/>
        </w:rPr>
        <w:t xml:space="preserve">»), κλιμακωσιμότητα </w:t>
      </w:r>
      <w:r>
        <w:t>vs</w:t>
      </w:r>
      <w:r w:rsidRPr="00242CC2">
        <w:rPr>
          <w:lang w:val="el-GR"/>
        </w:rPr>
        <w:t xml:space="preserve"> παραγωγικότητα (</w:t>
      </w:r>
      <w:r>
        <w:t>Wharton</w:t>
      </w:r>
      <w:r w:rsidRPr="00242CC2">
        <w:rPr>
          <w:lang w:val="el-GR"/>
        </w:rPr>
        <w:t>), εταιρικοί διαχωρισμοί &amp; άνθρωποι, διαδικασία παράδοσης αξίας/</w:t>
      </w:r>
      <w:r>
        <w:t>STP</w:t>
      </w:r>
      <w:r w:rsidRPr="00242CC2">
        <w:rPr>
          <w:lang w:val="el-GR"/>
        </w:rPr>
        <w:t xml:space="preserve"> &amp; αλυσίδα αξίας, λογοδοσία περιουσιακών στοιχείων μάρκετινγκ, το δίκτυο παγκόσμιας ιδιοκτησίας (</w:t>
      </w:r>
      <w:r>
        <w:t>Glattfelder</w:t>
      </w:r>
      <w:r w:rsidRPr="00242CC2">
        <w:rPr>
          <w:lang w:val="el-GR"/>
        </w:rPr>
        <w:t xml:space="preserve">) και η προσαρμογή για τον πληθωρισμό (ονομαστικά </w:t>
      </w:r>
      <w:r>
        <w:t>vs</w:t>
      </w:r>
      <w:r w:rsidRPr="00242CC2">
        <w:rPr>
          <w:lang w:val="el-GR"/>
        </w:rPr>
        <w:t xml:space="preserve"> πραγματικά μεγέθη).</w:t>
      </w:r>
    </w:p>
    <w:p w14:paraId="75D73CB9" w14:textId="0BBA639A" w:rsidR="00FE0D81" w:rsidRPr="00242CC2" w:rsidRDefault="00000000">
      <w:pPr>
        <w:pStyle w:val="ListParagraph"/>
        <w:numPr>
          <w:ilvl w:val="0"/>
          <w:numId w:val="2"/>
        </w:numPr>
        <w:spacing w:after="80"/>
        <w:rPr>
          <w:lang w:val="el-GR"/>
        </w:rPr>
      </w:pPr>
      <w:r w:rsidRPr="00242CC2">
        <w:rPr>
          <w:lang w:val="el-GR"/>
        </w:rPr>
        <w:t>Οι περισπασμοί κωδικοποιούν τις τυπικές παρανοήσεις (μέγεθος = αποδοτικότητα, παραγωγικότητα = κλιμακωσιμότητα, ονομαστικό = πραγματικό, ισχύς ως ιδιότητα κόμβου αντί δικτύου).</w:t>
      </w:r>
    </w:p>
    <w:p w14:paraId="5D4188DB" w14:textId="77777777" w:rsidR="00FE0D81" w:rsidRPr="00242CC2" w:rsidRDefault="00FE0D81">
      <w:pPr>
        <w:spacing w:after="160"/>
        <w:rPr>
          <w:lang w:val="el-GR"/>
        </w:rPr>
      </w:pPr>
    </w:p>
    <w:p w14:paraId="362C18F1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1. </w:t>
      </w:r>
      <w:r w:rsidRPr="00242CC2">
        <w:rPr>
          <w:sz w:val="23"/>
          <w:szCs w:val="23"/>
          <w:lang w:val="el-GR"/>
        </w:rPr>
        <w:t>Γιατί η ανάπτυξη μέσω μεγέθυνσης και ασυσχέτιστης διαφοροποίησης δεν δημιουργεί πάντα αξία («</w:t>
      </w:r>
      <w:r>
        <w:rPr>
          <w:sz w:val="23"/>
          <w:szCs w:val="23"/>
        </w:rPr>
        <w:t>when</w:t>
      </w:r>
      <w:r w:rsidRPr="00242CC2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bigger</w:t>
      </w:r>
      <w:r w:rsidRPr="00242CC2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isn</w:t>
      </w:r>
      <w:r w:rsidRPr="00242CC2">
        <w:rPr>
          <w:sz w:val="23"/>
          <w:szCs w:val="23"/>
          <w:lang w:val="el-GR"/>
        </w:rPr>
        <w:t>'</w:t>
      </w:r>
      <w:r>
        <w:rPr>
          <w:sz w:val="23"/>
          <w:szCs w:val="23"/>
        </w:rPr>
        <w:t>t</w:t>
      </w:r>
      <w:r w:rsidRPr="00242CC2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always</w:t>
      </w:r>
      <w:r w:rsidRPr="00242CC2">
        <w:rPr>
          <w:sz w:val="23"/>
          <w:szCs w:val="23"/>
          <w:lang w:val="el-GR"/>
        </w:rPr>
        <w:t xml:space="preserve"> </w:t>
      </w:r>
      <w:r>
        <w:rPr>
          <w:sz w:val="23"/>
          <w:szCs w:val="23"/>
        </w:rPr>
        <w:t>better</w:t>
      </w:r>
      <w:r w:rsidRPr="00242CC2">
        <w:rPr>
          <w:sz w:val="23"/>
          <w:szCs w:val="23"/>
          <w:lang w:val="el-GR"/>
        </w:rPr>
        <w:t>»);</w:t>
      </w:r>
    </w:p>
    <w:p w14:paraId="54C5B828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Επειδή το μεγαλύτερο μέγεθος εγγυάται πάντα μεγαλύτερη αποδοτικότητα.</w:t>
      </w:r>
    </w:p>
    <w:p w14:paraId="4036B1DF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Επειδή καθώς αυξάνονται τα έσοδα αυξάνονται και το κόστος και η πολυπλοκότητα· οι όμιλοι δυσκολεύονται να προσθέσουν αξία σε μονάδες άσχετες με τον πυρήνα τους, ιδίως όταν λείπουν συνέργειες ή διοικητικές ικανότητες.</w:t>
      </w:r>
    </w:p>
    <w:p w14:paraId="0D527B9A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Επειδή οι συνέργειες είναι αυτόματες σε κάθε εξαγορά.</w:t>
      </w:r>
    </w:p>
    <w:p w14:paraId="305C7047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Επειδή ο πυρήνας της επιχείρησης είναι αδιάφορος για την κερδοφορία.</w:t>
      </w:r>
    </w:p>
    <w:p w14:paraId="654C2982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35E158A3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Αντι-διαισθητικό σημείο για τη στρατηγική: το μέγεθος δεν είναι αυτοσκοπός. Με την αύξηση των εσόδων έρχονται κόστος και πολυπλοκότητα· κάποιες συνέργειες ίσως υλοποιηθούν, αλλά η διοίκηση συχνά ανακαλύπτει ότι είναι δύσκολο να προστεθεί αξία σε δραστηριότητες χωρίς σύνδεση με τον πυρήνα. Σήματα: μια μονάδα υπολείπεται των ομοειδών χωρίς προοπτική ανάκαμψης, ασύμβατες δομές κόστους, ή έλλειψη διοικητικής ικανότητας να αναπτυχθούν όλες οι δραστηριότητες. Πρόκειται για δυσοικονομίες εύρους/κλίμακας και όρια διοίκησης — όχι για κανόνα «μεγάλο = καλό». Οι περισπασμοί κωδικοποιούν ακριβώς αυτή την πλάνη.</w:t>
      </w:r>
    </w:p>
    <w:p w14:paraId="21123B16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2. </w:t>
      </w:r>
      <w:r w:rsidRPr="00242CC2">
        <w:rPr>
          <w:sz w:val="23"/>
          <w:szCs w:val="23"/>
          <w:lang w:val="el-GR"/>
        </w:rPr>
        <w:t xml:space="preserve">Σύμφωνα με την έρευνα του </w:t>
      </w:r>
      <w:r>
        <w:rPr>
          <w:sz w:val="23"/>
          <w:szCs w:val="23"/>
        </w:rPr>
        <w:t>Wharton</w:t>
      </w:r>
      <w:r w:rsidRPr="00242CC2">
        <w:rPr>
          <w:sz w:val="23"/>
          <w:szCs w:val="23"/>
          <w:lang w:val="el-GR"/>
        </w:rPr>
        <w:t xml:space="preserve"> (Ιαν. 2025), γιατί ορισμένες εταιρείες (π.χ. </w:t>
      </w:r>
      <w:r>
        <w:rPr>
          <w:sz w:val="23"/>
          <w:szCs w:val="23"/>
        </w:rPr>
        <w:t>Amazon</w:t>
      </w:r>
      <w:r w:rsidRPr="00242CC2">
        <w:rPr>
          <w:sz w:val="23"/>
          <w:szCs w:val="23"/>
          <w:lang w:val="el-GR"/>
        </w:rPr>
        <w:t>) μεγαλώνουν δυσανάλογα — είναι απλώς πιο «παραγωγικές»;</w:t>
      </w:r>
    </w:p>
    <w:p w14:paraId="5371749C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Ναι· είναι αποκλειστικά θέμα υψηλότερης συνολικής παραγωγικότητας συντελεστών (</w:t>
      </w:r>
      <w:proofErr w:type="spellStart"/>
      <w:r>
        <w:t>TFP</w:t>
      </w:r>
      <w:proofErr w:type="spellEnd"/>
      <w:r w:rsidRPr="00242CC2">
        <w:rPr>
          <w:lang w:val="el-GR"/>
        </w:rPr>
        <w:t>).</w:t>
      </w:r>
    </w:p>
    <w:p w14:paraId="429378A9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Όχι μόνο· είναι κυρίως θέμα κλιμακωσιμότητας (</w:t>
      </w:r>
      <w:r>
        <w:t>returns</w:t>
      </w:r>
      <w:r w:rsidRPr="00242CC2">
        <w:rPr>
          <w:lang w:val="el-GR"/>
        </w:rPr>
        <w:t xml:space="preserve"> </w:t>
      </w:r>
      <w:r>
        <w:t>to</w:t>
      </w:r>
      <w:r w:rsidRPr="00242CC2">
        <w:rPr>
          <w:lang w:val="el-GR"/>
        </w:rPr>
        <w:t xml:space="preserve"> </w:t>
      </w:r>
      <w:r>
        <w:t>scale</w:t>
      </w:r>
      <w:r w:rsidRPr="00242CC2">
        <w:rPr>
          <w:lang w:val="el-GR"/>
        </w:rPr>
        <w:t xml:space="preserve">, </w:t>
      </w:r>
      <w:r>
        <w:t>RTS</w:t>
      </w:r>
      <w:r w:rsidRPr="00242CC2">
        <w:rPr>
          <w:lang w:val="el-GR"/>
        </w:rPr>
        <w:t xml:space="preserve">) ενσωματωμένης στην τεχνολογία τους — η παραγωγικότητα σταθεροποιείται για τις μεγαλύτερες εταιρείες, ενώ η κλιμακωσιμότητα συνεχίζει να ανεβαίνει (το </w:t>
      </w:r>
      <w:r>
        <w:t>top</w:t>
      </w:r>
      <w:r w:rsidRPr="00242CC2">
        <w:rPr>
          <w:lang w:val="el-GR"/>
        </w:rPr>
        <w:t xml:space="preserve"> 5% έχει </w:t>
      </w:r>
      <w:r>
        <w:t>RTS</w:t>
      </w:r>
      <w:r w:rsidRPr="00242CC2">
        <w:rPr>
          <w:lang w:val="el-GR"/>
        </w:rPr>
        <w:t xml:space="preserve"> ~10 μ.β. υψηλότερο).</w:t>
      </w:r>
    </w:p>
    <w:p w14:paraId="2E88CC21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Είναι καθαρά θέμα τύχης και συγκυρίας.</w:t>
      </w:r>
    </w:p>
    <w:p w14:paraId="510BD492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Οι μεγάλες εταιρείες είναι πάντα λιγότερο παραγωγικές από τις μικρές.</w:t>
      </w:r>
    </w:p>
    <w:p w14:paraId="4DE6C2EC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28D0C86E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Η έρευνα διακρίνει δύο πράγματα που συχνά συγχέονται: «πιο παραγωγικός» </w:t>
      </w:r>
      <w:r>
        <w:rPr>
          <w:i/>
          <w:iCs/>
          <w:color w:val="555555"/>
          <w:sz w:val="21"/>
          <w:szCs w:val="21"/>
        </w:rPr>
        <w:t>vs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«πιο κλιμακώσιμος». Η παραδοσιακή άποψη απέδιδε την κυριαρχία στην ανώτερη παραγωγικότητα (</w:t>
      </w:r>
      <w:proofErr w:type="spellStart"/>
      <w:r>
        <w:rPr>
          <w:i/>
          <w:iCs/>
          <w:color w:val="555555"/>
          <w:sz w:val="21"/>
          <w:szCs w:val="21"/>
        </w:rPr>
        <w:t>TFP</w:t>
      </w:r>
      <w:proofErr w:type="spellEnd"/>
      <w:r w:rsidRPr="00242CC2">
        <w:rPr>
          <w:i/>
          <w:iCs/>
          <w:color w:val="555555"/>
          <w:sz w:val="21"/>
          <w:szCs w:val="21"/>
          <w:lang w:val="el-GR"/>
        </w:rPr>
        <w:t>)· η νέα ανάλυση (</w:t>
      </w:r>
      <w:r>
        <w:rPr>
          <w:i/>
          <w:iCs/>
          <w:color w:val="555555"/>
          <w:sz w:val="21"/>
          <w:szCs w:val="21"/>
        </w:rPr>
        <w:t>Salgado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, </w:t>
      </w:r>
      <w:proofErr w:type="spellStart"/>
      <w:r>
        <w:rPr>
          <w:i/>
          <w:iCs/>
          <w:color w:val="555555"/>
          <w:sz w:val="21"/>
          <w:szCs w:val="21"/>
        </w:rPr>
        <w:t>Hubmer</w:t>
      </w:r>
      <w:proofErr w:type="spellEnd"/>
      <w:r w:rsidRPr="00242CC2">
        <w:rPr>
          <w:i/>
          <w:iCs/>
          <w:color w:val="555555"/>
          <w:sz w:val="21"/>
          <w:szCs w:val="21"/>
          <w:lang w:val="el-GR"/>
        </w:rPr>
        <w:t xml:space="preserve">) δείχνει ότι η κλιμακωσιμότητα — η ικανότητα να επεκτείνεσαι αποδοτικά καθώς μεγαλώνεις — εξηγεί καλύτερα γιατί λίγες εταιρείες γίνονται τεράστιες. </w:t>
      </w:r>
      <w:r w:rsidRPr="00242CC2">
        <w:rPr>
          <w:i/>
          <w:iCs/>
          <w:color w:val="555555"/>
          <w:sz w:val="21"/>
          <w:szCs w:val="21"/>
          <w:lang w:val="el-GR"/>
        </w:rPr>
        <w:lastRenderedPageBreak/>
        <w:t>Η παραγωγικότητα τείνει να φτάνει σε «ταβάνι» (</w:t>
      </w:r>
      <w:r>
        <w:rPr>
          <w:i/>
          <w:iCs/>
          <w:color w:val="555555"/>
          <w:sz w:val="21"/>
          <w:szCs w:val="21"/>
        </w:rPr>
        <w:t>plateau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) στις μεγαλύτερες, ενώ η </w:t>
      </w:r>
      <w:r>
        <w:rPr>
          <w:i/>
          <w:iCs/>
          <w:color w:val="555555"/>
          <w:sz w:val="21"/>
          <w:szCs w:val="21"/>
        </w:rPr>
        <w:t>RTS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συνεχίζει να ανεβαίνει. Αυτό έχει συνέπειες και για τις χρηματοοικονομικές τριβές (</w:t>
      </w:r>
      <w:r>
        <w:rPr>
          <w:i/>
          <w:iCs/>
          <w:color w:val="555555"/>
          <w:sz w:val="21"/>
          <w:szCs w:val="21"/>
        </w:rPr>
        <w:t>financial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frictions</w:t>
      </w:r>
      <w:r w:rsidRPr="00242CC2">
        <w:rPr>
          <w:i/>
          <w:iCs/>
          <w:color w:val="555555"/>
          <w:sz w:val="21"/>
          <w:szCs w:val="21"/>
          <w:lang w:val="el-GR"/>
        </w:rPr>
        <w:t>). Διδακτικά: η σωστή ερώτηση δεν είναι «πόσο καλά παράγεις» αλλά «πόσο καλά κλιμακώνεσαι».</w:t>
      </w:r>
    </w:p>
    <w:p w14:paraId="6CA5DEA1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3. </w:t>
      </w:r>
      <w:r w:rsidRPr="00242CC2">
        <w:rPr>
          <w:sz w:val="23"/>
          <w:szCs w:val="23"/>
          <w:lang w:val="el-GR"/>
        </w:rPr>
        <w:t>Οι εταιρικοί διαχωρισμοί (</w:t>
      </w:r>
      <w:r>
        <w:rPr>
          <w:sz w:val="23"/>
          <w:szCs w:val="23"/>
        </w:rPr>
        <w:t>spin</w:t>
      </w:r>
      <w:r w:rsidRPr="00242CC2">
        <w:rPr>
          <w:sz w:val="23"/>
          <w:szCs w:val="23"/>
          <w:lang w:val="el-GR"/>
        </w:rPr>
        <w:t>-</w:t>
      </w:r>
      <w:r>
        <w:rPr>
          <w:sz w:val="23"/>
          <w:szCs w:val="23"/>
        </w:rPr>
        <w:t>offs</w:t>
      </w:r>
      <w:r w:rsidRPr="00242CC2">
        <w:rPr>
          <w:sz w:val="23"/>
          <w:szCs w:val="23"/>
          <w:lang w:val="el-GR"/>
        </w:rPr>
        <w:t xml:space="preserve">, </w:t>
      </w:r>
      <w:r>
        <w:rPr>
          <w:sz w:val="23"/>
          <w:szCs w:val="23"/>
        </w:rPr>
        <w:t>divestitures</w:t>
      </w:r>
      <w:r w:rsidRPr="00242CC2">
        <w:rPr>
          <w:sz w:val="23"/>
          <w:szCs w:val="23"/>
          <w:lang w:val="el-GR"/>
        </w:rPr>
        <w:t xml:space="preserve">, </w:t>
      </w:r>
      <w:r>
        <w:rPr>
          <w:sz w:val="23"/>
          <w:szCs w:val="23"/>
        </w:rPr>
        <w:t>carveouts</w:t>
      </w:r>
      <w:r w:rsidRPr="00242CC2">
        <w:rPr>
          <w:sz w:val="23"/>
          <w:szCs w:val="23"/>
          <w:lang w:val="el-GR"/>
        </w:rPr>
        <w:t>) έχουν αυξηθεί ραγδαία. Γιατί δεν εγγυώνται δημιουργία αξίας, και ποιος είναι ο κρίσιμος μοχλός;</w:t>
      </w:r>
    </w:p>
    <w:p w14:paraId="325AA8F2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Δημιουργούν πάντα αξία αυτόματα, λόγω της δομής της συναλλαγής.</w:t>
      </w:r>
    </w:p>
    <w:p w14:paraId="5B101977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Είναι σύνθετες συναλλαγές των οποίων η επιτυχία εξαρτάται από τους ανθρώπους: εντοπισμός κρίσιμων ρόλων/ταλέντου, αναδιαμόρφωση κουλτούρας και ένα σαφές όραμα που εμπνέει — η κακή διαχείριση ταλέντου/κουλτούρας καταστρέφει την επιδιωκόμενη αξία.</w:t>
      </w:r>
    </w:p>
    <w:p w14:paraId="13ADC3FF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Εξαρτώνται μόνο από τη χρηματοοικονομική μηχανική, όχι από τους ανθρώπους.</w:t>
      </w:r>
    </w:p>
    <w:p w14:paraId="0C44D858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Η κουλτούρα και το ταλέντο είναι άσχετα με το αποτέλεσμα ενός διαχωρισμού.</w:t>
      </w:r>
    </w:p>
    <w:p w14:paraId="482C5F1E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6949CFBF" w14:textId="77777777" w:rsidR="00FE0D81" w:rsidRDefault="00000000">
      <w:pPr>
        <w:spacing w:after="100"/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Ένας διαχωρισμός μπορεί να «απελευθερώσει» αξία (εστίαση, διαφάνεια αποτίμησης) αλλά δεν είναι εγγύηση. Το υλικό τονίζει ότι οι άνθρωποι είναι το κλειδί: ποιοι ρόλοι/δεξιότητες είναι κρίσιμοι για τη νέα οντότητα, πώς ταιριάζουμε τους κατάλληλους ανθρώπους στους σημαντικούς ρόλους, και πώς το «σοκ» του διαχωρισμού γίνεται ευκαιρία να επαναπροσδιοριστεί η κουλτούρα. Χρειάζεται επίσης ένα «</w:t>
      </w:r>
      <w:r>
        <w:rPr>
          <w:i/>
          <w:iCs/>
          <w:color w:val="555555"/>
          <w:sz w:val="21"/>
          <w:szCs w:val="21"/>
        </w:rPr>
        <w:t>true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north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» όραμα που να δείχνει γιατί η αλλαγή ωφελεί όλους τους εμπλεκόμενους. </w:t>
      </w:r>
      <w:proofErr w:type="spellStart"/>
      <w:r>
        <w:rPr>
          <w:i/>
          <w:iCs/>
          <w:color w:val="555555"/>
          <w:sz w:val="21"/>
          <w:szCs w:val="21"/>
        </w:rPr>
        <w:t>Συνδέετ</w:t>
      </w:r>
      <w:proofErr w:type="spellEnd"/>
      <w:r>
        <w:rPr>
          <w:i/>
          <w:iCs/>
          <w:color w:val="555555"/>
          <w:sz w:val="21"/>
          <w:szCs w:val="21"/>
        </w:rPr>
        <w:t xml:space="preserve">αι </w:t>
      </w:r>
      <w:proofErr w:type="spellStart"/>
      <w:r>
        <w:rPr>
          <w:i/>
          <w:iCs/>
          <w:color w:val="555555"/>
          <w:sz w:val="21"/>
          <w:szCs w:val="21"/>
        </w:rPr>
        <w:t>με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το</w:t>
      </w:r>
      <w:proofErr w:type="spellEnd"/>
      <w:r>
        <w:rPr>
          <w:i/>
          <w:iCs/>
          <w:color w:val="555555"/>
          <w:sz w:val="21"/>
          <w:szCs w:val="21"/>
        </w:rPr>
        <w:t xml:space="preserve"> «vision first, strategies follow» και </w:t>
      </w:r>
      <w:proofErr w:type="spellStart"/>
      <w:r>
        <w:rPr>
          <w:i/>
          <w:iCs/>
          <w:color w:val="555555"/>
          <w:sz w:val="21"/>
          <w:szCs w:val="21"/>
        </w:rPr>
        <w:t>το</w:t>
      </w:r>
      <w:proofErr w:type="spellEnd"/>
      <w:r>
        <w:rPr>
          <w:i/>
          <w:iCs/>
          <w:color w:val="555555"/>
          <w:sz w:val="21"/>
          <w:szCs w:val="21"/>
        </w:rPr>
        <w:t xml:space="preserve"> «it's all about people» </w:t>
      </w:r>
      <w:proofErr w:type="spellStart"/>
      <w:r>
        <w:rPr>
          <w:i/>
          <w:iCs/>
          <w:color w:val="555555"/>
          <w:sz w:val="21"/>
          <w:szCs w:val="21"/>
        </w:rPr>
        <w:t>της</w:t>
      </w:r>
      <w:proofErr w:type="spellEnd"/>
      <w:r>
        <w:rPr>
          <w:i/>
          <w:iCs/>
          <w:color w:val="555555"/>
          <w:sz w:val="21"/>
          <w:szCs w:val="21"/>
        </w:rPr>
        <w:t xml:space="preserve"> </w:t>
      </w:r>
      <w:proofErr w:type="spellStart"/>
      <w:r>
        <w:rPr>
          <w:i/>
          <w:iCs/>
          <w:color w:val="555555"/>
          <w:sz w:val="21"/>
          <w:szCs w:val="21"/>
        </w:rPr>
        <w:t>διάλεξης</w:t>
      </w:r>
      <w:proofErr w:type="spellEnd"/>
      <w:r>
        <w:rPr>
          <w:i/>
          <w:iCs/>
          <w:color w:val="555555"/>
          <w:sz w:val="21"/>
          <w:szCs w:val="21"/>
        </w:rPr>
        <w:t>.</w:t>
      </w:r>
    </w:p>
    <w:p w14:paraId="4FB3C806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4. </w:t>
      </w:r>
      <w:r w:rsidRPr="00242CC2">
        <w:rPr>
          <w:sz w:val="23"/>
          <w:szCs w:val="23"/>
          <w:lang w:val="el-GR"/>
        </w:rPr>
        <w:t>Γιατί η σύγχρονη οπτική τοποθετεί το μάρκετινγκ στην ΑΡΧΗ (επιλογή → παροχή → επικοινωνία αξίας), σε αντίθεση με την παλαιότερη «παράγω και μετά πουλάω»;</w:t>
      </w:r>
    </w:p>
    <w:p w14:paraId="3F0D6EC3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Επειδή το μάρκετινγκ έχει σημασία μόνο κατά τη διάρκεια της πώλησης.</w:t>
      </w:r>
    </w:p>
    <w:p w14:paraId="015F0DDA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Επειδή σε αγορές με ετερογενείς ανάγκες, ο ανταγωνιστής πρέπει πρώτα να τμηματοποιήσει, να στοχεύσει και να τοποθετήσει (</w:t>
      </w:r>
      <w:proofErr w:type="spellStart"/>
      <w:r>
        <w:t>STP</w:t>
      </w:r>
      <w:proofErr w:type="spellEnd"/>
      <w:r w:rsidRPr="00242CC2">
        <w:rPr>
          <w:lang w:val="el-GR"/>
        </w:rPr>
        <w:t>) — να «επιλέξει την αξία» πριν καν υπάρξει προϊόν· το «παράγω-και-πουλάω» δουλεύει μόνο σε οικονομίες έλλειψης με μη απαιτητικούς καταναλωτές.</w:t>
      </w:r>
    </w:p>
    <w:p w14:paraId="36A323F6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Επειδή πρώτα φτιάχνεις το προϊόν και μετά ψάχνεις πελάτη.</w:t>
      </w:r>
    </w:p>
    <w:p w14:paraId="2BA75DF3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 xml:space="preserve">Επειδή το </w:t>
      </w:r>
      <w:proofErr w:type="spellStart"/>
      <w:r>
        <w:t>STP</w:t>
      </w:r>
      <w:proofErr w:type="spellEnd"/>
      <w:r w:rsidRPr="00242CC2">
        <w:rPr>
          <w:lang w:val="el-GR"/>
        </w:rPr>
        <w:t xml:space="preserve"> δεν έχει εφαρμογή στις σύγχρονες αγορές.</w:t>
      </w:r>
    </w:p>
    <w:p w14:paraId="4ECC0074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033A3F6E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Η διαδικασία παράδοσης αξίας (</w:t>
      </w:r>
      <w:r>
        <w:rPr>
          <w:i/>
          <w:iCs/>
          <w:color w:val="555555"/>
          <w:sz w:val="21"/>
          <w:szCs w:val="21"/>
        </w:rPr>
        <w:t>value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delivery</w:t>
      </w:r>
      <w:r w:rsidRPr="00242CC2">
        <w:rPr>
          <w:i/>
          <w:iCs/>
          <w:color w:val="555555"/>
          <w:sz w:val="21"/>
          <w:szCs w:val="21"/>
          <w:lang w:val="el-GR"/>
        </w:rPr>
        <w:t>) ξεκινά πριν υπάρξει προϊόν. Φάση 1 — επιλογή αξίας: τμηματοποίηση, στόχευση, τοποθέτηση (</w:t>
      </w:r>
      <w:proofErr w:type="spellStart"/>
      <w:r>
        <w:rPr>
          <w:i/>
          <w:iCs/>
          <w:color w:val="555555"/>
          <w:sz w:val="21"/>
          <w:szCs w:val="21"/>
        </w:rPr>
        <w:t>STP</w:t>
      </w:r>
      <w:proofErr w:type="spellEnd"/>
      <w:r w:rsidRPr="00242CC2">
        <w:rPr>
          <w:i/>
          <w:iCs/>
          <w:color w:val="555555"/>
          <w:sz w:val="21"/>
          <w:szCs w:val="21"/>
          <w:lang w:val="el-GR"/>
        </w:rPr>
        <w:t>), η «προεργασία» του στρατηγικού μάρκετινγκ. Φάση 2 — παροχή αξίας: χαρακτηριστικά, τιμή, διανομή. Φάση 3 — επικοινωνία αξίας: διαφήμιση, πωλήσεις, ψηφιακά κανάλια. Η παλαιά λογική «παράγω-και-πουλάω» πετυχαίνει μόνο σε αγορές έλλειψης· σε αγορές με ποικίλες προτιμήσεις, η αξία πρέπει να σχεδιάζεται για συγκεκριμένα κοινά-στόχους από την αρχή. Κάθε φάση έχει επιπτώσεις κόστους — άρα και διαστάσεις κινδύνου.</w:t>
      </w:r>
    </w:p>
    <w:p w14:paraId="6CA017E7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5. </w:t>
      </w:r>
      <w:r w:rsidRPr="00242CC2">
        <w:rPr>
          <w:sz w:val="23"/>
          <w:szCs w:val="23"/>
          <w:lang w:val="el-GR"/>
        </w:rPr>
        <w:t>Η επιτυχία της επιχείρησης δεν εξαρτάται μόνο από το πόσο καλά δουλεύει κάθε τμήμα. Τι προσθέτει η έννοια της αλυσίδας αξίας;</w:t>
      </w:r>
    </w:p>
    <w:p w14:paraId="54C1FAEC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Ότι αρκεί κάθε τμήμα να βελτιστοποιεί μεμονωμένα τη δική του απόδοση.</w:t>
      </w:r>
    </w:p>
    <w:p w14:paraId="30C3FFD5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Ότι κρίσιμη είναι η οριζόντια συντονισμένη εκτέλεση των βασικών διαδικασιών (αίσθηση αγοράς, ανάπτυξη νέων προσφορών, απόκτηση πελατών, διαχείριση σχέσεων, εκπλήρωση παραγγελιών) — όχι μόνο η κάθετη απόδοση των σιλό.</w:t>
      </w:r>
    </w:p>
    <w:p w14:paraId="6A3A6EE2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Ότι μόνο η παραγωγή έχει σημασία για το αποτέλεσμα.</w:t>
      </w:r>
    </w:p>
    <w:p w14:paraId="5EBCD281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Ότι ο συντονισμός μεταξύ τμημάτων είναι περιττός.</w:t>
      </w:r>
    </w:p>
    <w:p w14:paraId="0CE4891D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366CE6BE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lastRenderedPageBreak/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Η αλυσίδα αξίας μετατοπίζει την προσοχή από τα «σιλό» τμημάτων στις διαλειτουργικές διαδικασίες που διατρέχουν οριζόντια την εταιρεία: αίσθηση της αγοράς (</w:t>
      </w:r>
      <w:r>
        <w:rPr>
          <w:i/>
          <w:iCs/>
          <w:color w:val="555555"/>
          <w:sz w:val="21"/>
          <w:szCs w:val="21"/>
        </w:rPr>
        <w:t>market</w:t>
      </w:r>
      <w:r w:rsidRPr="00242CC2">
        <w:rPr>
          <w:i/>
          <w:iCs/>
          <w:color w:val="555555"/>
          <w:sz w:val="21"/>
          <w:szCs w:val="21"/>
          <w:lang w:val="el-GR"/>
        </w:rPr>
        <w:t>-</w:t>
      </w:r>
      <w:r>
        <w:rPr>
          <w:i/>
          <w:iCs/>
          <w:color w:val="555555"/>
          <w:sz w:val="21"/>
          <w:szCs w:val="21"/>
        </w:rPr>
        <w:t>sensing</w:t>
      </w:r>
      <w:r w:rsidRPr="00242CC2">
        <w:rPr>
          <w:i/>
          <w:iCs/>
          <w:color w:val="555555"/>
          <w:sz w:val="21"/>
          <w:szCs w:val="21"/>
          <w:lang w:val="el-GR"/>
        </w:rPr>
        <w:t>), υλοποίηση νέων προσφορών, απόκτηση πελατών, διαχείριση σχέσεων (</w:t>
      </w:r>
      <w:r>
        <w:rPr>
          <w:i/>
          <w:iCs/>
          <w:color w:val="555555"/>
          <w:sz w:val="21"/>
          <w:szCs w:val="21"/>
        </w:rPr>
        <w:t>CRM</w:t>
      </w:r>
      <w:r w:rsidRPr="00242CC2">
        <w:rPr>
          <w:i/>
          <w:iCs/>
          <w:color w:val="555555"/>
          <w:sz w:val="21"/>
          <w:szCs w:val="21"/>
          <w:lang w:val="el-GR"/>
        </w:rPr>
        <w:t>), εκπλήρωση (</w:t>
      </w:r>
      <w:r>
        <w:rPr>
          <w:i/>
          <w:iCs/>
          <w:color w:val="555555"/>
          <w:sz w:val="21"/>
          <w:szCs w:val="21"/>
        </w:rPr>
        <w:t>fulfillment</w:t>
      </w:r>
      <w:r w:rsidRPr="00242CC2">
        <w:rPr>
          <w:i/>
          <w:iCs/>
          <w:color w:val="555555"/>
          <w:sz w:val="21"/>
          <w:szCs w:val="21"/>
          <w:lang w:val="el-GR"/>
        </w:rPr>
        <w:t>). Μια επιχείρηση μπορεί να έχει άριστα επιμέρους τμήματα και να αποτυγχάνει επειδή οι διαδικασίες δεν συντονίζονται. Είναι η ίδια συστημική λογική του μαθήματος: η απόδοση είναι ιδιότητα του συστήματος/διαδικασίας, όχι του μεμονωμένου κόμβου — σύνδεση με την οπτική «η επιχείρηση ως διαδικασία, όχι ως μονάδα παραγωγής».</w:t>
      </w:r>
    </w:p>
    <w:p w14:paraId="0ADCCC43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6. </w:t>
      </w:r>
      <w:r w:rsidRPr="00242CC2">
        <w:rPr>
          <w:sz w:val="23"/>
          <w:szCs w:val="23"/>
          <w:lang w:val="el-GR"/>
        </w:rPr>
        <w:t>Η χρηματοοικονομική λογοδοσία για τα «περιουσιακά στοιχεία μάρκετινγκ» (μάρκες, σχέσεις πελατών) προτείνεται αλλά και αμφισβητείται. Ποια είναι η πιο ισορροπημένη θέση;</w:t>
      </w:r>
    </w:p>
    <w:p w14:paraId="5394D385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Τα περιουσιακά στοιχεία μάρκετινγκ δεν μπορούν και δεν πρέπει ποτέ να μετρώνται.</w:t>
      </w:r>
    </w:p>
    <w:p w14:paraId="0F838377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Η συστηματική χρηματοοικονομική λογοδοσία μπορεί να αναδείξει την αξία του μάρκετινγκ, αλλά οι συνέπειές της είναι ασαφείς/μικτές· υπερβολική ποσοτικοποίηση των άυλων κινδυνεύει να υποτιμήσει τη μάρκα (η «εμμονή στην ποσοτικοποίηση») — μέτρα ναι, αλλά ό,τι μετριέται δεν είναι όλο ό,τι μετράει.</w:t>
      </w:r>
    </w:p>
    <w:p w14:paraId="43572028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Η χρηματοοικονομική λογοδοσία έχει μόνο οφέλη και κανέναν κίνδυνο.</w:t>
      </w:r>
    </w:p>
    <w:p w14:paraId="007973A7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Οι μάρκες και οι σχέσεις πελατών δεν αποτελούν περιουσιακά στοιχεία.</w:t>
      </w:r>
    </w:p>
    <w:p w14:paraId="4E568E55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699F235A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Λεπτό σημείο που γεφυρώνει με τη σύγχρονη έρευνα (</w:t>
      </w:r>
      <w:r>
        <w:rPr>
          <w:i/>
          <w:iCs/>
          <w:color w:val="555555"/>
          <w:sz w:val="21"/>
          <w:szCs w:val="21"/>
        </w:rPr>
        <w:t>Bendle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&amp; </w:t>
      </w:r>
      <w:r>
        <w:rPr>
          <w:i/>
          <w:iCs/>
          <w:color w:val="555555"/>
          <w:sz w:val="21"/>
          <w:szCs w:val="21"/>
        </w:rPr>
        <w:t>Wang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2017· </w:t>
      </w:r>
      <w:r>
        <w:rPr>
          <w:i/>
          <w:iCs/>
          <w:color w:val="555555"/>
          <w:sz w:val="21"/>
          <w:szCs w:val="21"/>
        </w:rPr>
        <w:t>Morgan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et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al</w:t>
      </w:r>
      <w:r w:rsidRPr="00242CC2">
        <w:rPr>
          <w:i/>
          <w:iCs/>
          <w:color w:val="555555"/>
          <w:sz w:val="21"/>
          <w:szCs w:val="21"/>
          <w:lang w:val="el-GR"/>
        </w:rPr>
        <w:t>. 2022): η λογοδοσία για άυλα στοιχεία (</w:t>
      </w:r>
      <w:r>
        <w:rPr>
          <w:i/>
          <w:iCs/>
          <w:color w:val="555555"/>
          <w:sz w:val="21"/>
          <w:szCs w:val="21"/>
        </w:rPr>
        <w:t>brand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equity</w:t>
      </w:r>
      <w:r w:rsidRPr="00242CC2">
        <w:rPr>
          <w:i/>
          <w:iCs/>
          <w:color w:val="555555"/>
          <w:sz w:val="21"/>
          <w:szCs w:val="21"/>
          <w:lang w:val="el-GR"/>
        </w:rPr>
        <w:t>, σχέσεις πελατών) επιδιώκει να δείξει ότι το μάρκετινγκ «λογοδοτεί» — αλλά τα εμπειρικά αποτελέσματα είναι ασαφή. Ο κίνδυνος είναι η «εμμονή στην ποσοτικοποίηση» (</w:t>
      </w:r>
      <w:r>
        <w:rPr>
          <w:i/>
          <w:iCs/>
          <w:color w:val="555555"/>
          <w:sz w:val="21"/>
          <w:szCs w:val="21"/>
        </w:rPr>
        <w:t>quantification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fixation</w:t>
      </w:r>
      <w:r w:rsidRPr="00242CC2">
        <w:rPr>
          <w:i/>
          <w:iCs/>
          <w:color w:val="555555"/>
          <w:sz w:val="21"/>
          <w:szCs w:val="21"/>
          <w:lang w:val="el-GR"/>
        </w:rPr>
        <w:t>): ό,τι εκφράζεται αριθμητικά αποκτά δυσανάλογο βάρος, ενώ η πραγματική αξία της μάρκης ως θεσμικής εμπιστοσύνης υποτιμάται. Η σωστή στάση δεν είναι «μη μετράς» ούτε «μέτρα τα πάντα», αλλά «μέτρα με επίγνωση των ορίων της μέτρησης» — κεντρικό θέμα και της δικής σας έρευνας.</w:t>
      </w:r>
    </w:p>
    <w:p w14:paraId="191C1C26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7. </w:t>
      </w:r>
      <w:r w:rsidRPr="00242CC2">
        <w:rPr>
          <w:sz w:val="23"/>
          <w:szCs w:val="23"/>
          <w:lang w:val="el-GR"/>
        </w:rPr>
        <w:t>Με βάση την «αρχιτεκτονική της εξουσίας» (δίκτυο παγκόσμιας εταιρικής ιδιοκτησίας: δομή «παπιγιόν» και υπερ-οντότητα), γιατί η συγκέντρωση ελέγχου είναι συστημικός κίνδυνος που δεν φαίνεται από την ανάλυση επιχείρησης-προς-επιχείρηση;</w:t>
      </w:r>
    </w:p>
    <w:p w14:paraId="66709939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Επειδή η κατανομή ελέγχου είναι τυχαία και χωρίς δομή.</w:t>
      </w:r>
    </w:p>
    <w:p w14:paraId="08B2FB20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Επειδή η ισχύς και ο κίνδυνος είναι ιδιότητες του ΔΙΚΤΥΟΥ: ένας μικρός, πυκνά διασυνδεδεμένος πυρήνας ελέγχει δυσανάλογο μέρος της αξίας· η ατομιστική ματιά χάνει τις κοινές εκθέσεις (μετάδοση) και τον μειωμένο ουσιαστικό ανταγωνισμό.</w:t>
      </w:r>
    </w:p>
    <w:p w14:paraId="55589ED0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Επειδή η ανάλυση κάθε εταιρείας χωριστά αποτυπώνει πλήρως τη συγκέντρωση.</w:t>
      </w:r>
    </w:p>
    <w:p w14:paraId="43D18780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Επειδή η συγκέντρωση ελέγχου δεν έχει καμία συνέπεια κινδύνου.</w:t>
      </w:r>
    </w:p>
    <w:p w14:paraId="58480F97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5F8B08BE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Επαναφορά της δικτυακής σκέψης (</w:t>
      </w:r>
      <w:r>
        <w:rPr>
          <w:i/>
          <w:iCs/>
          <w:color w:val="555555"/>
          <w:sz w:val="21"/>
          <w:szCs w:val="21"/>
        </w:rPr>
        <w:t>Vitali</w:t>
      </w:r>
      <w:r w:rsidRPr="00242CC2">
        <w:rPr>
          <w:i/>
          <w:iCs/>
          <w:color w:val="555555"/>
          <w:sz w:val="21"/>
          <w:szCs w:val="21"/>
          <w:lang w:val="el-GR"/>
        </w:rPr>
        <w:t>–</w:t>
      </w:r>
      <w:r>
        <w:rPr>
          <w:i/>
          <w:iCs/>
          <w:color w:val="555555"/>
          <w:sz w:val="21"/>
          <w:szCs w:val="21"/>
        </w:rPr>
        <w:t>Glattfelder</w:t>
      </w:r>
      <w:r w:rsidRPr="00242CC2">
        <w:rPr>
          <w:i/>
          <w:iCs/>
          <w:color w:val="555555"/>
          <w:sz w:val="21"/>
          <w:szCs w:val="21"/>
          <w:lang w:val="el-GR"/>
        </w:rPr>
        <w:t>–</w:t>
      </w:r>
      <w:r>
        <w:rPr>
          <w:i/>
          <w:iCs/>
          <w:color w:val="555555"/>
          <w:sz w:val="21"/>
          <w:szCs w:val="21"/>
        </w:rPr>
        <w:t>Battiston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) ως εργαλείο διαχείρισης συστημικού κινδύνου. Η ιδιοκτησία σχηματίζει «παπιγιόν» με μικρό, πυκνά συνδεδεμένο πυρήνα (κυρίως χρηματοπιστωτικά ιδρύματα) που ασκεί επιρροή σε δυσανάλογο μέρος των παγκόσμιων εσόδων, και η δομή αυτή είναι αξιοσημείωτα ανθεκτική σε σοκ ακόμη κι όταν αλλάζουν τα επιμέρους μέλη. Η ανάλυση επιχείρησης-προς-επιχείρηση δεν το βλέπει, γιατί ο κίνδυνος προκύπτει από την τοπολογία: κοινές εκθέσεις → μετάδοση, και συγκέντρωση → μειωμένος ανταγωνισμός. Για τον </w:t>
      </w:r>
      <w:r>
        <w:rPr>
          <w:i/>
          <w:iCs/>
          <w:color w:val="555555"/>
          <w:sz w:val="21"/>
          <w:szCs w:val="21"/>
        </w:rPr>
        <w:t>manager</w:t>
      </w:r>
      <w:r w:rsidRPr="00242CC2">
        <w:rPr>
          <w:i/>
          <w:iCs/>
          <w:color w:val="555555"/>
          <w:sz w:val="21"/>
          <w:szCs w:val="21"/>
          <w:lang w:val="el-GR"/>
        </w:rPr>
        <w:t>/ρυθμιστή, η ανθεκτικότητα απαιτεί να «διαβάζεις τον ιστό», όχι μόνο τον κόμβο.</w:t>
      </w:r>
    </w:p>
    <w:p w14:paraId="73DB48A5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8. </w:t>
      </w:r>
      <w:r w:rsidRPr="00242CC2">
        <w:rPr>
          <w:sz w:val="23"/>
          <w:szCs w:val="23"/>
          <w:lang w:val="el-GR"/>
        </w:rPr>
        <w:t>Γιατί η σύγκριση ονομαστικών (</w:t>
      </w:r>
      <w:r>
        <w:rPr>
          <w:sz w:val="23"/>
          <w:szCs w:val="23"/>
        </w:rPr>
        <w:t>nominal</w:t>
      </w:r>
      <w:r w:rsidRPr="00242CC2">
        <w:rPr>
          <w:sz w:val="23"/>
          <w:szCs w:val="23"/>
          <w:lang w:val="el-GR"/>
        </w:rPr>
        <w:t>) χρηματικών ποσών διαχρονικά είναι παραπλανητική, και πώς γίνεται η σωστή προσαρμογή;</w:t>
      </w:r>
    </w:p>
    <w:p w14:paraId="3E7EEA29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Δεν είναι παραπλανητική· τα ονομαστικά ποσά συγκρίνονται άμεσα.</w:t>
      </w:r>
    </w:p>
    <w:p w14:paraId="25EA096D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lastRenderedPageBreak/>
        <w:t xml:space="preserve">Β) </w:t>
      </w:r>
      <w:r w:rsidRPr="00242CC2">
        <w:rPr>
          <w:lang w:val="el-GR"/>
        </w:rPr>
        <w:t>Ο πληθωρισμός μειώνει την αγοραστική δύναμη, οπότε μετατρέπουμε σε «πραγματικές» αξίες με δείκτη τιμών (ΔΤΚ): πραγματική = ονομαστική ÷ δείκτη × 100 — π.χ. ο πραγματικός ομοσπονδιακός κατώτατος μισθός των ΗΠΑ έπεσε ~27% από το 2009 ενώ ο ονομαστικός έμεινε $7,25.</w:t>
      </w:r>
    </w:p>
    <w:p w14:paraId="1E786EF8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Πραγματική αξία = ονομαστική × πληθωρισμό.</w:t>
      </w:r>
    </w:p>
    <w:p w14:paraId="0D45E7CE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Ο πληθωρισμός δεν επηρεάζει την αγοραστική δύναμη.</w:t>
      </w:r>
    </w:p>
    <w:p w14:paraId="4DDA76CB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510C22FC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Θεμελιώδης διάκριση ονομαστικού/πραγματικού. Επειδή το γενικό επίπεδο τιμών αλλάζει, η σύγκριση «σκέτων» ευρώ/δολαρίων από διαφορετικές εποχές δεν έχει νόημα. Μετατρέπουμε σε σταθερές τιμές με δείκτη (ΔΤΚ = 100 στο έτος βάσης): πραγματικός μισθός = ονομαστικός ÷ ΔΤΚ × 100. Δύο εύγλωττα παραδείγματα από το κείμενο: ο πραγματικός ομοσπονδιακός κατώτατος μισθός των ΗΠΑ έχασε ~27% της αξίας του από το 2009 (ο ονομαστικός έμεινε $7,25), και τα $260 εκατ. εισπράξεων του </w:t>
      </w:r>
      <w:r>
        <w:rPr>
          <w:i/>
          <w:iCs/>
          <w:color w:val="555555"/>
          <w:sz w:val="21"/>
          <w:szCs w:val="21"/>
        </w:rPr>
        <w:t>Star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Wars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(1977-78) αντιστοιχούν σε ~$1,28 δισ. του 2022. Η ευρετηρίαση (</w:t>
      </w:r>
      <w:r>
        <w:rPr>
          <w:i/>
          <w:iCs/>
          <w:color w:val="555555"/>
          <w:sz w:val="21"/>
          <w:szCs w:val="21"/>
        </w:rPr>
        <w:t>indexation</w:t>
      </w:r>
      <w:r w:rsidRPr="00242CC2">
        <w:rPr>
          <w:i/>
          <w:iCs/>
          <w:color w:val="555555"/>
          <w:sz w:val="21"/>
          <w:szCs w:val="21"/>
          <w:lang w:val="el-GR"/>
        </w:rPr>
        <w:t>) — π.χ. στις συντάξεις Κοινωνικής Ασφάλισης — διατηρεί σταθερή την πραγματική αξία.</w:t>
      </w:r>
    </w:p>
    <w:p w14:paraId="59A70433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9. </w:t>
      </w:r>
      <w:r w:rsidRPr="00242CC2">
        <w:rPr>
          <w:sz w:val="23"/>
          <w:szCs w:val="23"/>
          <w:lang w:val="el-GR"/>
        </w:rPr>
        <w:t>Γιατί ένας δανειολήπτης ή αποταμιευτής πρέπει να σκέφτεται σε πραγματικά (</w:t>
      </w:r>
      <w:r>
        <w:rPr>
          <w:sz w:val="23"/>
          <w:szCs w:val="23"/>
        </w:rPr>
        <w:t>real</w:t>
      </w:r>
      <w:r w:rsidRPr="00242CC2">
        <w:rPr>
          <w:sz w:val="23"/>
          <w:szCs w:val="23"/>
          <w:lang w:val="el-GR"/>
        </w:rPr>
        <w:t>) και όχι ονομαστικά επιτόκια, και πώς ορίζεται το πραγματικό επιτόκιο;</w:t>
      </w:r>
    </w:p>
    <w:p w14:paraId="7758EC85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Πραγματικό επιτόκιο = ονομαστικό + πληθωρισμός· μόνο το ονομαστικό μετράει στην πράξη.</w:t>
      </w:r>
    </w:p>
    <w:p w14:paraId="29769BE9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Πραγματικό επιτόκιο ≈ ονομαστικό − αναμενόμενος πληθωρισμός· ο πληθωρισμός διαβρώνει την πραγματική αξία των μελλοντικών πληρωμών, και το «</w:t>
      </w:r>
      <w:r>
        <w:t>breakeven</w:t>
      </w:r>
      <w:r w:rsidRPr="00242CC2">
        <w:rPr>
          <w:lang w:val="el-GR"/>
        </w:rPr>
        <w:t xml:space="preserve"> </w:t>
      </w:r>
      <w:r>
        <w:t>inflation</w:t>
      </w:r>
      <w:r w:rsidRPr="00242CC2">
        <w:rPr>
          <w:lang w:val="el-GR"/>
        </w:rPr>
        <w:t xml:space="preserve">» (από </w:t>
      </w:r>
      <w:r>
        <w:t>spreads</w:t>
      </w:r>
      <w:r w:rsidRPr="00242CC2">
        <w:rPr>
          <w:lang w:val="el-GR"/>
        </w:rPr>
        <w:t xml:space="preserve"> ομολόγων) προσεγγίζει τον αναμενόμενο πληθωρισμό.</w:t>
      </w:r>
    </w:p>
    <w:p w14:paraId="4647FB35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Ο πληθωρισμός είναι άσχετος με το κόστος ενός δανείου.</w:t>
      </w:r>
    </w:p>
    <w:p w14:paraId="527CF79F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Το πραγματικό επιτόκιο είναι πάντα ίσο με το ονομαστικό.</w:t>
      </w:r>
    </w:p>
    <w:p w14:paraId="1F3460A9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376CFB54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Οι τόκοι πληρώνονται/εισπράττονται για μήνες ή χρόνια, διάστημα στο οποίο ο πληθωρισμός πιθανότατα διαβρώνει την αξία των πληρωμών. Γι' αυτό το πραγματικό κόστος δανεισμού είναι το ονομαστικό επιτόκιο μείον τον αναμενόμενο πληθωρισμό. Επειδή ο μελλοντικός πληθωρισμός είναι άγνωστος, οι οικονομολόγοι χρησιμοποιούν το «ποσοστό πληθωρισμού νεκρού σημείου» (</w:t>
      </w:r>
      <w:r>
        <w:rPr>
          <w:i/>
          <w:iCs/>
          <w:color w:val="555555"/>
          <w:sz w:val="21"/>
          <w:szCs w:val="21"/>
        </w:rPr>
        <w:t>breakeven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 </w:t>
      </w:r>
      <w:r>
        <w:rPr>
          <w:i/>
          <w:iCs/>
          <w:color w:val="555555"/>
          <w:sz w:val="21"/>
          <w:szCs w:val="21"/>
        </w:rPr>
        <w:t>inflation</w:t>
      </w:r>
      <w:r w:rsidRPr="00242CC2">
        <w:rPr>
          <w:i/>
          <w:iCs/>
          <w:color w:val="555555"/>
          <w:sz w:val="21"/>
          <w:szCs w:val="21"/>
          <w:lang w:val="el-GR"/>
        </w:rPr>
        <w:t>) — από τη σύγκριση αποδόσεων συμβατικών και τιμαριθμοποιημένων ομολόγων — ως μέτρο των προσδοκιών. Παράδειγμα: σε ένα 30ετές στεγαστικό, η απόσταση ονομαστικού-πραγματικού επιτοκίου είναι ο αναμενόμενος πληθωρισμός (μέσος ~2,1%). Κρίσιμο για κάθε επενδυτική/χρηματοδοτική απόφαση υπό αβεβαιότητα.</w:t>
      </w:r>
    </w:p>
    <w:p w14:paraId="6AF28760" w14:textId="77777777" w:rsidR="00FE0D81" w:rsidRPr="00242CC2" w:rsidRDefault="00000000">
      <w:pPr>
        <w:keepNext/>
        <w:spacing w:before="160" w:after="60"/>
        <w:rPr>
          <w:lang w:val="el-GR"/>
        </w:rPr>
      </w:pPr>
      <w:r w:rsidRPr="00242CC2">
        <w:rPr>
          <w:b/>
          <w:bCs/>
          <w:sz w:val="23"/>
          <w:szCs w:val="23"/>
          <w:lang w:val="el-GR"/>
        </w:rPr>
        <w:t xml:space="preserve">Ερώτηση 10. </w:t>
      </w:r>
      <w:r w:rsidRPr="00242CC2">
        <w:rPr>
          <w:sz w:val="23"/>
          <w:szCs w:val="23"/>
          <w:lang w:val="el-GR"/>
        </w:rPr>
        <w:t>[Σύνθεση] Τι ενοποιεί τα φαινομενικά διαφορετικά εργαλεία της διάλεξης (πειθαρχία εύρους, κλιμακωσιμότητα, παράδοση αξίας, δικτυακή επίγνωση, σκέψη σε πραγματικά μεγέθη) ως διαχείριση συστημικού κινδύνου;</w:t>
      </w:r>
    </w:p>
    <w:p w14:paraId="7540611D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Α) </w:t>
      </w:r>
      <w:r w:rsidRPr="00242CC2">
        <w:rPr>
          <w:lang w:val="el-GR"/>
        </w:rPr>
        <w:t>Είναι άσχετα θέματα χωρίς κοινό νήμα.</w:t>
      </w:r>
    </w:p>
    <w:p w14:paraId="41DA7D76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Β) </w:t>
      </w:r>
      <w:r w:rsidRPr="00242CC2">
        <w:rPr>
          <w:lang w:val="el-GR"/>
        </w:rPr>
        <w:t>Η θεώρηση της επιχείρησης ως διαδικασίας μέσα σε έναν σύνθετο, προσαρμοστικό ιστό: διαχείριση εύρους/κλιμάκωσης, συντονισμός διαδικασιών αξίας, ανάγνωση του δικτύου ιδιοκτησίας και προσαρμογή σε πραγματικά (όχι ονομαστικά) μεγέθη — όλα υπηρετούν την ανθεκτικότητα και την καθαρή λήψη αποφάσεων υπό πολυπλοκότητα («</w:t>
      </w:r>
      <w:r>
        <w:t>vision</w:t>
      </w:r>
      <w:r w:rsidRPr="00242CC2">
        <w:rPr>
          <w:lang w:val="el-GR"/>
        </w:rPr>
        <w:t xml:space="preserve"> </w:t>
      </w:r>
      <w:r>
        <w:t>first</w:t>
      </w:r>
      <w:r w:rsidRPr="00242CC2">
        <w:rPr>
          <w:lang w:val="el-GR"/>
        </w:rPr>
        <w:t>», «</w:t>
      </w:r>
      <w:r>
        <w:t>it</w:t>
      </w:r>
      <w:r w:rsidRPr="00242CC2">
        <w:rPr>
          <w:lang w:val="el-GR"/>
        </w:rPr>
        <w:t>'</w:t>
      </w:r>
      <w:r>
        <w:t>s</w:t>
      </w:r>
      <w:r w:rsidRPr="00242CC2">
        <w:rPr>
          <w:lang w:val="el-GR"/>
        </w:rPr>
        <w:t xml:space="preserve"> </w:t>
      </w:r>
      <w:r>
        <w:t>all</w:t>
      </w:r>
      <w:r w:rsidRPr="00242CC2">
        <w:rPr>
          <w:lang w:val="el-GR"/>
        </w:rPr>
        <w:t xml:space="preserve"> </w:t>
      </w:r>
      <w:r>
        <w:t>about</w:t>
      </w:r>
      <w:r w:rsidRPr="00242CC2">
        <w:rPr>
          <w:lang w:val="el-GR"/>
        </w:rPr>
        <w:t xml:space="preserve"> </w:t>
      </w:r>
      <w:r>
        <w:t>people</w:t>
      </w:r>
      <w:r w:rsidRPr="00242CC2">
        <w:rPr>
          <w:lang w:val="el-GR"/>
        </w:rPr>
        <w:t>»).</w:t>
      </w:r>
    </w:p>
    <w:p w14:paraId="760BEF4E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Γ) </w:t>
      </w:r>
      <w:r w:rsidRPr="00242CC2">
        <w:rPr>
          <w:lang w:val="el-GR"/>
        </w:rPr>
        <w:t>Η ιδέα ότι η επιχείρηση είναι απομονωμένη μονάδα που βελτιστοποιεί έναν μόνο δείκτη.</w:t>
      </w:r>
    </w:p>
    <w:p w14:paraId="42E88290" w14:textId="77777777" w:rsidR="00FE0D81" w:rsidRPr="00242CC2" w:rsidRDefault="00000000">
      <w:pPr>
        <w:spacing w:after="30"/>
        <w:ind w:left="480"/>
        <w:rPr>
          <w:lang w:val="el-GR"/>
        </w:rPr>
      </w:pPr>
      <w:r w:rsidRPr="00242CC2">
        <w:rPr>
          <w:b/>
          <w:bCs/>
          <w:lang w:val="el-GR"/>
        </w:rPr>
        <w:t xml:space="preserve">Δ) </w:t>
      </w:r>
      <w:r w:rsidRPr="00242CC2">
        <w:rPr>
          <w:lang w:val="el-GR"/>
        </w:rPr>
        <w:t>Ότι ο συστημικός κίνδυνος είναι αμιγώς εξωτερικός και μη διαχειρίσιμος.</w:t>
      </w:r>
    </w:p>
    <w:p w14:paraId="6CE5B8A2" w14:textId="77777777" w:rsidR="00FE0D81" w:rsidRPr="00242CC2" w:rsidRDefault="00000000">
      <w:pPr>
        <w:spacing w:before="60" w:after="30"/>
        <w:rPr>
          <w:lang w:val="el-GR"/>
        </w:rPr>
      </w:pPr>
      <w:r w:rsidRPr="00242CC2">
        <w:rPr>
          <w:b/>
          <w:bCs/>
          <w:color w:val="2E7D32"/>
          <w:lang w:val="el-GR"/>
        </w:rPr>
        <w:t>Ορθή απάντηση: Β</w:t>
      </w:r>
    </w:p>
    <w:p w14:paraId="43E91563" w14:textId="77777777" w:rsidR="00FE0D81" w:rsidRPr="00242CC2" w:rsidRDefault="00000000">
      <w:pPr>
        <w:spacing w:after="100"/>
        <w:rPr>
          <w:lang w:val="el-GR"/>
        </w:rPr>
      </w:pPr>
      <w:r w:rsidRPr="00242CC2">
        <w:rPr>
          <w:b/>
          <w:bCs/>
          <w:i/>
          <w:iCs/>
          <w:color w:val="555555"/>
          <w:sz w:val="21"/>
          <w:szCs w:val="21"/>
          <w:lang w:val="el-GR"/>
        </w:rPr>
        <w:t xml:space="preserve">Διδακτικό σχόλιο: </w:t>
      </w:r>
      <w:r w:rsidRPr="00242CC2">
        <w:rPr>
          <w:i/>
          <w:iCs/>
          <w:color w:val="555555"/>
          <w:sz w:val="21"/>
          <w:szCs w:val="21"/>
          <w:lang w:val="el-GR"/>
        </w:rPr>
        <w:t>Η συνθετική ερώτηση που δένει τη διάλεξη με τη ραχοκοκαλιά του μαθήματος. Καθένα από τα εργαλεία είναι, στην ουσία, μια άσκηση ανθεκτικότητας υπό πολυπλοκότητα: ξέρω πότε το μέγεθος βλάπτει (εύρος), τι με κάνει να κλιμακώνομαι (</w:t>
      </w:r>
      <w:r>
        <w:rPr>
          <w:i/>
          <w:iCs/>
          <w:color w:val="555555"/>
          <w:sz w:val="21"/>
          <w:szCs w:val="21"/>
        </w:rPr>
        <w:t>scalability</w:t>
      </w:r>
      <w:r w:rsidRPr="00242CC2">
        <w:rPr>
          <w:i/>
          <w:iCs/>
          <w:color w:val="555555"/>
          <w:sz w:val="21"/>
          <w:szCs w:val="21"/>
          <w:lang w:val="el-GR"/>
        </w:rPr>
        <w:t xml:space="preserve">), πώς συντονίζω τις </w:t>
      </w:r>
      <w:r w:rsidRPr="00242CC2">
        <w:rPr>
          <w:i/>
          <w:iCs/>
          <w:color w:val="555555"/>
          <w:sz w:val="21"/>
          <w:szCs w:val="21"/>
          <w:lang w:val="el-GR"/>
        </w:rPr>
        <w:lastRenderedPageBreak/>
        <w:t>διαδικασίες αξίας, πώς «διαβάζω» τη θέση μου στο δίκτυο ισχύος, και πώς αποφασίζω με βάση πραγματικά —όχι ονομαστικά— μεγέθη. Η ενοποιητική ματιά είναι η θεώρηση της επιχείρησης ως διαδικασίας μέσα σε ένα σύνθετο προσαρμοστικό σύστημα, όπου το όραμα προηγείται των στρατηγικών και οι άνθρωποι είναι ο τελικός προσδιοριστής της επιτυχίας. Έτσι ο «συστημικός κίνδυνος» δεν είναι εξωτερική μοίρα αλλά κάτι που διαχειρίζεσαι μέσω δομής, διαδικασίας και κρίσης.</w:t>
      </w:r>
    </w:p>
    <w:p w14:paraId="5FE65E97" w14:textId="77777777" w:rsidR="00FE0D81" w:rsidRPr="00242CC2" w:rsidRDefault="00000000">
      <w:pPr>
        <w:pBdr>
          <w:bottom w:val="single" w:sz="6" w:space="4" w:color="1F4E79"/>
        </w:pBdr>
        <w:spacing w:before="260" w:after="120"/>
        <w:rPr>
          <w:lang w:val="el-GR"/>
        </w:rPr>
      </w:pPr>
      <w:r w:rsidRPr="00242CC2">
        <w:rPr>
          <w:b/>
          <w:bCs/>
          <w:color w:val="1F4E79"/>
          <w:sz w:val="25"/>
          <w:szCs w:val="25"/>
          <w:lang w:val="el-GR"/>
        </w:rPr>
        <w:t>Συνοπτικό κλειδί απαντήσεων</w:t>
      </w:r>
    </w:p>
    <w:p w14:paraId="23C7A8B7" w14:textId="77777777" w:rsidR="00FE0D81" w:rsidRPr="00242CC2" w:rsidRDefault="00000000">
      <w:pPr>
        <w:rPr>
          <w:lang w:val="el-GR"/>
        </w:rPr>
      </w:pPr>
      <w:r w:rsidRPr="00242CC2">
        <w:rPr>
          <w:lang w:val="el-GR"/>
        </w:rPr>
        <w:t>1:Β   ·   2:Β   ·   3:Β   ·   4:Β   ·   5:Β   ·   6:Β   ·   7:Β   ·   8:Β   ·   9:Β   ·   10:Β</w:t>
      </w:r>
    </w:p>
    <w:sectPr w:rsidR="00FE0D81" w:rsidRPr="00242CC2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90236"/>
    <w:multiLevelType w:val="hybridMultilevel"/>
    <w:tmpl w:val="08F04680"/>
    <w:lvl w:ilvl="0" w:tplc="2A28BEA2">
      <w:start w:val="1"/>
      <w:numFmt w:val="bullet"/>
      <w:lvlText w:val="●"/>
      <w:lvlJc w:val="left"/>
      <w:pPr>
        <w:ind w:left="720" w:hanging="360"/>
      </w:pPr>
    </w:lvl>
    <w:lvl w:ilvl="1" w:tplc="C8528ED8">
      <w:start w:val="1"/>
      <w:numFmt w:val="bullet"/>
      <w:lvlText w:val="○"/>
      <w:lvlJc w:val="left"/>
      <w:pPr>
        <w:ind w:left="1440" w:hanging="360"/>
      </w:pPr>
    </w:lvl>
    <w:lvl w:ilvl="2" w:tplc="5A447896">
      <w:start w:val="1"/>
      <w:numFmt w:val="bullet"/>
      <w:lvlText w:val="■"/>
      <w:lvlJc w:val="left"/>
      <w:pPr>
        <w:ind w:left="2160" w:hanging="360"/>
      </w:pPr>
    </w:lvl>
    <w:lvl w:ilvl="3" w:tplc="A90003F0">
      <w:start w:val="1"/>
      <w:numFmt w:val="bullet"/>
      <w:lvlText w:val="●"/>
      <w:lvlJc w:val="left"/>
      <w:pPr>
        <w:ind w:left="2880" w:hanging="360"/>
      </w:pPr>
    </w:lvl>
    <w:lvl w:ilvl="4" w:tplc="55586B5C">
      <w:start w:val="1"/>
      <w:numFmt w:val="bullet"/>
      <w:lvlText w:val="○"/>
      <w:lvlJc w:val="left"/>
      <w:pPr>
        <w:ind w:left="3600" w:hanging="360"/>
      </w:pPr>
    </w:lvl>
    <w:lvl w:ilvl="5" w:tplc="00F2B7C6">
      <w:start w:val="1"/>
      <w:numFmt w:val="bullet"/>
      <w:lvlText w:val="■"/>
      <w:lvlJc w:val="left"/>
      <w:pPr>
        <w:ind w:left="4320" w:hanging="360"/>
      </w:pPr>
    </w:lvl>
    <w:lvl w:ilvl="6" w:tplc="C59A3C48">
      <w:start w:val="1"/>
      <w:numFmt w:val="bullet"/>
      <w:lvlText w:val="●"/>
      <w:lvlJc w:val="left"/>
      <w:pPr>
        <w:ind w:left="5040" w:hanging="360"/>
      </w:pPr>
    </w:lvl>
    <w:lvl w:ilvl="7" w:tplc="FDF6667C">
      <w:start w:val="1"/>
      <w:numFmt w:val="bullet"/>
      <w:lvlText w:val="●"/>
      <w:lvlJc w:val="left"/>
      <w:pPr>
        <w:ind w:left="5760" w:hanging="360"/>
      </w:pPr>
    </w:lvl>
    <w:lvl w:ilvl="8" w:tplc="34E0051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F64592"/>
    <w:multiLevelType w:val="hybridMultilevel"/>
    <w:tmpl w:val="585E7A00"/>
    <w:lvl w:ilvl="0" w:tplc="E688736E">
      <w:start w:val="1"/>
      <w:numFmt w:val="bullet"/>
      <w:lvlText w:val="•"/>
      <w:lvlJc w:val="left"/>
      <w:pPr>
        <w:ind w:left="460" w:hanging="280"/>
      </w:pPr>
    </w:lvl>
    <w:lvl w:ilvl="1" w:tplc="D94CE17E">
      <w:numFmt w:val="decimal"/>
      <w:lvlText w:val=""/>
      <w:lvlJc w:val="left"/>
    </w:lvl>
    <w:lvl w:ilvl="2" w:tplc="3280CCAA">
      <w:numFmt w:val="decimal"/>
      <w:lvlText w:val=""/>
      <w:lvlJc w:val="left"/>
    </w:lvl>
    <w:lvl w:ilvl="3" w:tplc="366C490E">
      <w:numFmt w:val="decimal"/>
      <w:lvlText w:val=""/>
      <w:lvlJc w:val="left"/>
    </w:lvl>
    <w:lvl w:ilvl="4" w:tplc="28105924">
      <w:numFmt w:val="decimal"/>
      <w:lvlText w:val=""/>
      <w:lvlJc w:val="left"/>
    </w:lvl>
    <w:lvl w:ilvl="5" w:tplc="16E6FB1A">
      <w:numFmt w:val="decimal"/>
      <w:lvlText w:val=""/>
      <w:lvlJc w:val="left"/>
    </w:lvl>
    <w:lvl w:ilvl="6" w:tplc="DDAC8B26">
      <w:numFmt w:val="decimal"/>
      <w:lvlText w:val=""/>
      <w:lvlJc w:val="left"/>
    </w:lvl>
    <w:lvl w:ilvl="7" w:tplc="B204F8FC">
      <w:numFmt w:val="decimal"/>
      <w:lvlText w:val=""/>
      <w:lvlJc w:val="left"/>
    </w:lvl>
    <w:lvl w:ilvl="8" w:tplc="86CE2DC8">
      <w:numFmt w:val="decimal"/>
      <w:lvlText w:val=""/>
      <w:lvlJc w:val="left"/>
    </w:lvl>
  </w:abstractNum>
  <w:num w:numId="1" w16cid:durableId="419563868">
    <w:abstractNumId w:val="0"/>
    <w:lvlOverride w:ilvl="0">
      <w:startOverride w:val="1"/>
    </w:lvlOverride>
  </w:num>
  <w:num w:numId="2" w16cid:durableId="45255463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D81"/>
    <w:rsid w:val="000D464E"/>
    <w:rsid w:val="00126CC7"/>
    <w:rsid w:val="00242CC2"/>
    <w:rsid w:val="00710F76"/>
    <w:rsid w:val="00FE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2281"/>
  <w15:docId w15:val="{D0A965AD-37E1-4A74-A23A-EC2616B6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2052</Words>
  <Characters>11698</Characters>
  <Application>Microsoft Office Word</Application>
  <DocSecurity>0</DocSecurity>
  <Lines>97</Lines>
  <Paragraphs>27</Paragraphs>
  <ScaleCrop>false</ScaleCrop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DIMITRIOS KAMPIS</cp:lastModifiedBy>
  <cp:revision>2</cp:revision>
  <dcterms:created xsi:type="dcterms:W3CDTF">2026-05-31T21:02:00Z</dcterms:created>
  <dcterms:modified xsi:type="dcterms:W3CDTF">2026-05-31T21:02:00Z</dcterms:modified>
</cp:coreProperties>
</file>