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sldx" ContentType="application/vnd.openxmlformats-officedocument.presentationml.slide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DC956" w14:textId="77777777" w:rsidR="00766758" w:rsidRPr="00766758" w:rsidRDefault="00766758" w:rsidP="00766758">
      <w:pPr>
        <w:spacing w:line="264" w:lineRule="auto"/>
        <w:ind w:left="-180"/>
        <w:jc w:val="center"/>
        <w:rPr>
          <w:b/>
          <w:sz w:val="36"/>
          <w:szCs w:val="36"/>
        </w:rPr>
      </w:pPr>
      <w:r w:rsidRPr="00766758">
        <w:rPr>
          <w:b/>
          <w:sz w:val="36"/>
          <w:szCs w:val="36"/>
        </w:rPr>
        <w:t>ΠΑΛΑΙΟΤΕΡΑ ΘΕΜΑΤΑ ΕΞΕΤΑΣΕΩΝ ΣΤΟ ΜΑΘΗΜΑ ΤΩΝ ΠΟΣΟΤΙΚΩΝ ΜΕΘΟΔΩΝ ΣΤΗΝ ΧΡΗΜΑΤΟΟΙΚΟΝΟΜΙΚΗ</w:t>
      </w:r>
    </w:p>
    <w:p w14:paraId="0F21D4E4" w14:textId="77777777" w:rsidR="00766758" w:rsidRDefault="00766758" w:rsidP="007C0359">
      <w:pPr>
        <w:spacing w:line="264" w:lineRule="auto"/>
        <w:ind w:left="-180"/>
        <w:jc w:val="both"/>
        <w:rPr>
          <w:b/>
        </w:rPr>
      </w:pPr>
    </w:p>
    <w:p w14:paraId="1FF0F0D8" w14:textId="77777777" w:rsidR="00766758" w:rsidRDefault="00766758" w:rsidP="007C0359">
      <w:pPr>
        <w:spacing w:line="264" w:lineRule="auto"/>
        <w:ind w:left="-180"/>
        <w:jc w:val="both"/>
        <w:rPr>
          <w:b/>
        </w:rPr>
      </w:pPr>
    </w:p>
    <w:p w14:paraId="795442EA" w14:textId="77777777" w:rsidR="00766758" w:rsidRDefault="00766758" w:rsidP="007C0359">
      <w:pPr>
        <w:spacing w:line="264" w:lineRule="auto"/>
        <w:ind w:left="-180"/>
        <w:jc w:val="both"/>
        <w:rPr>
          <w:b/>
        </w:rPr>
      </w:pPr>
    </w:p>
    <w:p w14:paraId="309810E8" w14:textId="77777777" w:rsidR="00766758" w:rsidRPr="00AA10EC" w:rsidRDefault="00766758" w:rsidP="007C0359">
      <w:pPr>
        <w:spacing w:line="264" w:lineRule="auto"/>
        <w:ind w:left="-180"/>
        <w:jc w:val="both"/>
        <w:rPr>
          <w:b/>
          <w:u w:val="single"/>
        </w:rPr>
      </w:pPr>
    </w:p>
    <w:p w14:paraId="54CD5E89" w14:textId="77777777" w:rsidR="007C0359" w:rsidRPr="00AA10EC" w:rsidRDefault="007C0359" w:rsidP="007C0359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1</w:t>
      </w:r>
    </w:p>
    <w:p w14:paraId="65B087D5" w14:textId="77777777" w:rsidR="007C0359" w:rsidRPr="008E2F98" w:rsidRDefault="007C0359" w:rsidP="007C0359">
      <w:pPr>
        <w:spacing w:line="264" w:lineRule="auto"/>
        <w:ind w:left="-180"/>
        <w:jc w:val="both"/>
        <w:rPr>
          <w:b/>
        </w:rPr>
      </w:pPr>
    </w:p>
    <w:p w14:paraId="4057DCF5" w14:textId="77777777" w:rsidR="007C0359" w:rsidRPr="00D96C1B" w:rsidRDefault="007C0359" w:rsidP="007C0359">
      <w:pPr>
        <w:spacing w:line="264" w:lineRule="auto"/>
        <w:ind w:left="-142"/>
        <w:jc w:val="both"/>
      </w:pPr>
      <w:r>
        <w:t>Γ</w:t>
      </w:r>
      <w:r w:rsidRPr="00D96C1B">
        <w:t xml:space="preserve">ια την επιχείρηση </w:t>
      </w:r>
      <w:r>
        <w:rPr>
          <w:lang w:val="en-US"/>
        </w:rPr>
        <w:t>Alph</w:t>
      </w:r>
      <w:r w:rsidRPr="00D96C1B">
        <w:rPr>
          <w:lang w:val="en-US"/>
        </w:rPr>
        <w:t>a</w:t>
      </w:r>
      <w:r w:rsidRPr="00D96C1B">
        <w:t xml:space="preserve"> εκτιμήθηκε η πιο κάτω συνάρτηση πωλήσεων με τη χρήση τριμηνια</w:t>
      </w:r>
      <w:r>
        <w:t xml:space="preserve">ίων στοιχείων για μια περίοδο </w:t>
      </w:r>
      <w:r w:rsidRPr="00CF3C0B">
        <w:t>20</w:t>
      </w:r>
      <w:r w:rsidRPr="00D96C1B">
        <w:t xml:space="preserve"> ετών.</w:t>
      </w:r>
    </w:p>
    <w:p w14:paraId="05C47009" w14:textId="77777777" w:rsidR="007C0359" w:rsidRPr="0069438E" w:rsidRDefault="007C0359" w:rsidP="007C0359">
      <w:pPr>
        <w:spacing w:line="264" w:lineRule="auto"/>
        <w:ind w:left="-142"/>
        <w:jc w:val="both"/>
        <w:rPr>
          <w:vertAlign w:val="subscript"/>
        </w:rPr>
      </w:pPr>
      <w:r w:rsidRPr="00D96C1B">
        <w:rPr>
          <w:lang w:val="en-US"/>
        </w:rPr>
        <w:t>S</w:t>
      </w:r>
      <w:r w:rsidRPr="00D96C1B">
        <w:rPr>
          <w:vertAlign w:val="subscript"/>
          <w:lang w:val="en-US"/>
        </w:rPr>
        <w:t>t</w:t>
      </w:r>
      <w:r w:rsidRPr="0069438E">
        <w:rPr>
          <w:vertAlign w:val="subscript"/>
        </w:rPr>
        <w:t xml:space="preserve"> </w:t>
      </w:r>
      <w:r w:rsidRPr="0069438E">
        <w:t xml:space="preserve">= </w:t>
      </w:r>
      <w:proofErr w:type="gramStart"/>
      <w:r w:rsidRPr="0069438E">
        <w:t>18  +</w:t>
      </w:r>
      <w:proofErr w:type="gramEnd"/>
      <w:r w:rsidRPr="0069438E">
        <w:t xml:space="preserve">  0,8 </w:t>
      </w:r>
      <w:r w:rsidRPr="00D96C1B">
        <w:rPr>
          <w:lang w:val="en-US"/>
        </w:rPr>
        <w:t>S</w:t>
      </w:r>
      <w:r w:rsidRPr="00D96C1B">
        <w:rPr>
          <w:vertAlign w:val="subscript"/>
          <w:lang w:val="en-US"/>
        </w:rPr>
        <w:t>t</w:t>
      </w:r>
      <w:r w:rsidRPr="0069438E">
        <w:rPr>
          <w:vertAlign w:val="subscript"/>
        </w:rPr>
        <w:t>-1</w:t>
      </w:r>
      <w:r>
        <w:t xml:space="preserve">  +  </w:t>
      </w:r>
      <w:r w:rsidRPr="00D94ADA">
        <w:t>0,38</w:t>
      </w:r>
      <w:r w:rsidRPr="0069438E">
        <w:t xml:space="preserve"> </w:t>
      </w:r>
      <w:r w:rsidRPr="00D96C1B">
        <w:rPr>
          <w:lang w:val="en-US"/>
        </w:rPr>
        <w:t>A</w:t>
      </w:r>
      <w:r w:rsidRPr="00D96C1B">
        <w:rPr>
          <w:vertAlign w:val="subscript"/>
          <w:lang w:val="en-US"/>
        </w:rPr>
        <w:t>t</w:t>
      </w:r>
    </w:p>
    <w:p w14:paraId="5C0AB241" w14:textId="77777777" w:rsidR="007C0359" w:rsidRPr="0069438E" w:rsidRDefault="007C0359" w:rsidP="007C0359">
      <w:pPr>
        <w:tabs>
          <w:tab w:val="left" w:pos="1965"/>
        </w:tabs>
        <w:spacing w:line="264" w:lineRule="auto"/>
        <w:ind w:left="-142"/>
        <w:jc w:val="both"/>
      </w:pPr>
      <w:r>
        <w:t xml:space="preserve">       (2,0)     (0,1)       (</w:t>
      </w:r>
      <w:r w:rsidRPr="00D94ADA">
        <w:t>0,1</w:t>
      </w:r>
      <w:r w:rsidRPr="0069438E">
        <w:t>)</w:t>
      </w:r>
    </w:p>
    <w:p w14:paraId="21654F2B" w14:textId="77777777" w:rsidR="007C0359" w:rsidRDefault="007C0359" w:rsidP="007C0359">
      <w:pPr>
        <w:spacing w:line="264" w:lineRule="auto"/>
        <w:ind w:left="-142"/>
        <w:jc w:val="both"/>
      </w:pPr>
    </w:p>
    <w:p w14:paraId="469AD925" w14:textId="77777777" w:rsidR="007C0359" w:rsidRPr="00657BC7" w:rsidRDefault="007C0359" w:rsidP="007C0359">
      <w:pPr>
        <w:spacing w:line="264" w:lineRule="auto"/>
        <w:ind w:left="-142"/>
        <w:jc w:val="both"/>
      </w:pPr>
      <w:r>
        <w:rPr>
          <w:lang w:val="en-US"/>
        </w:rPr>
        <w:t>R</w:t>
      </w:r>
      <w:r w:rsidRPr="00657BC7">
        <w:rPr>
          <w:vertAlign w:val="superscript"/>
        </w:rPr>
        <w:t>2</w:t>
      </w:r>
      <w:r w:rsidRPr="00657BC7">
        <w:t>= 0,70</w:t>
      </w:r>
      <w:r>
        <w:t xml:space="preserve">, </w:t>
      </w:r>
      <w:r>
        <w:rPr>
          <w:lang w:val="en-US"/>
        </w:rPr>
        <w:t>DW</w:t>
      </w:r>
      <w:r w:rsidRPr="00657BC7">
        <w:t>= 2,00</w:t>
      </w:r>
    </w:p>
    <w:p w14:paraId="3D8946F2" w14:textId="77777777" w:rsidR="007C0359" w:rsidRDefault="007C0359" w:rsidP="007C0359">
      <w:pPr>
        <w:spacing w:line="264" w:lineRule="auto"/>
        <w:ind w:left="-142"/>
        <w:jc w:val="both"/>
      </w:pPr>
      <w:r>
        <w:t>(εντός των παρενθέσεων δίνονται τα τυπικά σφάλματα)</w:t>
      </w:r>
    </w:p>
    <w:p w14:paraId="567377F9" w14:textId="77777777" w:rsidR="007C0359" w:rsidRDefault="007C0359" w:rsidP="007C0359">
      <w:pPr>
        <w:spacing w:line="264" w:lineRule="auto"/>
        <w:ind w:left="-142"/>
        <w:jc w:val="both"/>
      </w:pPr>
    </w:p>
    <w:p w14:paraId="26CE5EEE" w14:textId="77777777" w:rsidR="007C0359" w:rsidRPr="00D96C1B" w:rsidRDefault="007C0359" w:rsidP="007C0359">
      <w:pPr>
        <w:spacing w:line="264" w:lineRule="auto"/>
        <w:ind w:left="-142"/>
        <w:jc w:val="both"/>
      </w:pPr>
      <w:r w:rsidRPr="00D96C1B">
        <w:t>Όπου:</w:t>
      </w:r>
    </w:p>
    <w:p w14:paraId="561C9146" w14:textId="77777777" w:rsidR="007C0359" w:rsidRPr="00D96C1B" w:rsidRDefault="007C0359" w:rsidP="007C0359">
      <w:pPr>
        <w:spacing w:line="264" w:lineRule="auto"/>
        <w:ind w:left="-142"/>
        <w:jc w:val="both"/>
      </w:pPr>
      <w:proofErr w:type="gramStart"/>
      <w:r w:rsidRPr="00D96C1B">
        <w:rPr>
          <w:lang w:val="en-US"/>
        </w:rPr>
        <w:t>S</w:t>
      </w:r>
      <w:r w:rsidRPr="00D96C1B">
        <w:rPr>
          <w:vertAlign w:val="subscript"/>
          <w:lang w:val="en-US"/>
        </w:rPr>
        <w:t>t</w:t>
      </w:r>
      <w:r w:rsidRPr="00D96C1B">
        <w:rPr>
          <w:vertAlign w:val="subscript"/>
        </w:rPr>
        <w:t xml:space="preserve"> </w:t>
      </w:r>
      <w:r w:rsidRPr="00D96C1B">
        <w:t>:</w:t>
      </w:r>
      <w:proofErr w:type="gramEnd"/>
      <w:r w:rsidRPr="00D96C1B">
        <w:t xml:space="preserve"> οι πωλήσεις την χρονική στιγμή </w:t>
      </w:r>
      <w:r w:rsidRPr="00D96C1B">
        <w:rPr>
          <w:lang w:val="en-US"/>
        </w:rPr>
        <w:t>t</w:t>
      </w:r>
    </w:p>
    <w:p w14:paraId="20FE08D7" w14:textId="77777777" w:rsidR="007C0359" w:rsidRPr="00D96C1B" w:rsidRDefault="007C0359" w:rsidP="007C0359">
      <w:pPr>
        <w:spacing w:line="264" w:lineRule="auto"/>
        <w:ind w:left="-142"/>
        <w:jc w:val="both"/>
      </w:pPr>
      <w:r w:rsidRPr="00D96C1B">
        <w:rPr>
          <w:lang w:val="en-US"/>
        </w:rPr>
        <w:t>S</w:t>
      </w:r>
      <w:r w:rsidRPr="00D96C1B">
        <w:rPr>
          <w:vertAlign w:val="subscript"/>
          <w:lang w:val="en-US"/>
        </w:rPr>
        <w:t>t</w:t>
      </w:r>
      <w:r w:rsidRPr="00D96C1B">
        <w:rPr>
          <w:vertAlign w:val="subscript"/>
        </w:rPr>
        <w:t>-</w:t>
      </w:r>
      <w:proofErr w:type="gramStart"/>
      <w:r w:rsidRPr="00D96C1B">
        <w:rPr>
          <w:vertAlign w:val="subscript"/>
        </w:rPr>
        <w:t>1</w:t>
      </w:r>
      <w:r w:rsidRPr="00D96C1B">
        <w:t xml:space="preserve">  :</w:t>
      </w:r>
      <w:proofErr w:type="gramEnd"/>
      <w:r w:rsidRPr="00D96C1B">
        <w:t xml:space="preserve"> οι πωλήσεις την χρονική στιγμή </w:t>
      </w:r>
      <w:r w:rsidRPr="00D96C1B">
        <w:rPr>
          <w:lang w:val="en-US"/>
        </w:rPr>
        <w:t>t</w:t>
      </w:r>
      <w:r w:rsidRPr="00D96C1B">
        <w:t>-1</w:t>
      </w:r>
    </w:p>
    <w:p w14:paraId="4CA5F4D9" w14:textId="77777777" w:rsidR="007C0359" w:rsidRPr="00D96C1B" w:rsidRDefault="007C0359" w:rsidP="007C0359">
      <w:pPr>
        <w:spacing w:line="264" w:lineRule="auto"/>
        <w:ind w:left="-142"/>
        <w:jc w:val="both"/>
      </w:pPr>
      <w:proofErr w:type="gramStart"/>
      <w:r w:rsidRPr="0069438E">
        <w:rPr>
          <w:lang w:val="en-US"/>
        </w:rPr>
        <w:t>A</w:t>
      </w:r>
      <w:r w:rsidRPr="0069438E">
        <w:rPr>
          <w:vertAlign w:val="subscript"/>
          <w:lang w:val="en-US"/>
        </w:rPr>
        <w:t>t</w:t>
      </w:r>
      <w:r w:rsidRPr="0069438E">
        <w:rPr>
          <w:vertAlign w:val="subscript"/>
        </w:rPr>
        <w:t xml:space="preserve">  </w:t>
      </w:r>
      <w:r>
        <w:t>:</w:t>
      </w:r>
      <w:proofErr w:type="gramEnd"/>
      <w:r>
        <w:t xml:space="preserve"> δαπάνες</w:t>
      </w:r>
      <w:r w:rsidRPr="0069438E">
        <w:t xml:space="preserve"> για διαφημίσεις την χρονική στιγμή </w:t>
      </w:r>
      <w:r w:rsidRPr="0069438E">
        <w:rPr>
          <w:lang w:val="en-US"/>
        </w:rPr>
        <w:t>t</w:t>
      </w:r>
      <w:r w:rsidRPr="0069438E">
        <w:t xml:space="preserve"> </w:t>
      </w:r>
    </w:p>
    <w:p w14:paraId="15AF1362" w14:textId="77777777" w:rsidR="007C0359" w:rsidRPr="00D96C1B" w:rsidRDefault="007C0359" w:rsidP="007C0359">
      <w:pPr>
        <w:spacing w:line="264" w:lineRule="auto"/>
        <w:ind w:left="-142"/>
        <w:jc w:val="both"/>
      </w:pPr>
    </w:p>
    <w:p w14:paraId="78875550" w14:textId="77777777" w:rsidR="007C0359" w:rsidRPr="00D96C1B" w:rsidRDefault="007C0359" w:rsidP="007C0359">
      <w:pPr>
        <w:spacing w:line="264" w:lineRule="auto"/>
        <w:ind w:left="-142"/>
        <w:jc w:val="both"/>
      </w:pPr>
      <w:r w:rsidRPr="00D96C1B">
        <w:t>Να ερμηνευθούν τα εμπειρικά αποτελέσματα</w:t>
      </w:r>
      <w:r w:rsidRPr="0069438E">
        <w:t xml:space="preserve"> </w:t>
      </w:r>
      <w:r>
        <w:t xml:space="preserve">διεξοδικά και να γίνουν όλοι οι </w:t>
      </w:r>
      <w:r w:rsidRPr="00D96C1B">
        <w:t xml:space="preserve">απαραίτητοι </w:t>
      </w:r>
      <w:r>
        <w:t xml:space="preserve">σχετικοί </w:t>
      </w:r>
      <w:r w:rsidRPr="00D96C1B">
        <w:t>έλεγχοι.</w:t>
      </w:r>
    </w:p>
    <w:p w14:paraId="7AE0DF89" w14:textId="77777777" w:rsidR="007C0359" w:rsidRPr="00657BC7" w:rsidRDefault="007C0359" w:rsidP="007C0359">
      <w:pPr>
        <w:spacing w:line="264" w:lineRule="auto"/>
        <w:ind w:left="-142"/>
        <w:jc w:val="both"/>
      </w:pPr>
    </w:p>
    <w:p w14:paraId="1FEC862E" w14:textId="77777777" w:rsidR="0085571E" w:rsidRDefault="0085571E"/>
    <w:p w14:paraId="4FE44C7B" w14:textId="77777777" w:rsidR="007C0359" w:rsidRPr="00AA10EC" w:rsidRDefault="007C0359" w:rsidP="00AA10EC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2</w:t>
      </w:r>
    </w:p>
    <w:p w14:paraId="0456E640" w14:textId="77777777" w:rsidR="007C0359" w:rsidRDefault="007C0359" w:rsidP="007C0359">
      <w:pPr>
        <w:ind w:left="-142"/>
      </w:pPr>
      <w:r>
        <w:t>Χρησιμοποιώντας εβδομαδιαίες αποδόσεις για το Χρηματιστήριο της Νέας Υόρκης (</w:t>
      </w:r>
      <w:r>
        <w:rPr>
          <w:lang w:val="en-US"/>
        </w:rPr>
        <w:t>NYSE</w:t>
      </w:r>
      <w:r w:rsidRPr="00405FD3">
        <w:t>)</w:t>
      </w:r>
      <w:r>
        <w:t xml:space="preserve"> για την περίοδο 1976-1989 εκτιμήθηκε το ακόλουθο υπόδειγμα:</w:t>
      </w:r>
    </w:p>
    <w:p w14:paraId="14CBD761" w14:textId="77777777" w:rsidR="007C0359" w:rsidRDefault="007C0359" w:rsidP="007C0359">
      <w:pPr>
        <w:ind w:left="-142"/>
      </w:pPr>
    </w:p>
    <w:p w14:paraId="6B126B91" w14:textId="77777777" w:rsidR="007C0359" w:rsidRPr="00F14321" w:rsidRDefault="007C0359" w:rsidP="007C0359">
      <w:pPr>
        <w:ind w:left="-142"/>
        <w:rPr>
          <w:lang w:val="pt-BR"/>
        </w:rPr>
      </w:pPr>
      <w:r w:rsidRPr="00F14321">
        <w:rPr>
          <w:lang w:val="pt-BR"/>
        </w:rPr>
        <w:t>R</w:t>
      </w:r>
      <w:r w:rsidRPr="00F14321">
        <w:rPr>
          <w:vertAlign w:val="subscript"/>
          <w:lang w:val="pt-BR"/>
        </w:rPr>
        <w:t>t</w:t>
      </w:r>
      <w:r>
        <w:rPr>
          <w:vertAlign w:val="subscript"/>
          <w:lang w:val="pt-BR"/>
        </w:rPr>
        <w:t xml:space="preserve"> </w:t>
      </w:r>
      <w:r w:rsidRPr="00F14321">
        <w:rPr>
          <w:lang w:val="pt-BR"/>
        </w:rPr>
        <w:t>=  0,180  +  0,059 R</w:t>
      </w:r>
      <w:r w:rsidRPr="00F14321">
        <w:rPr>
          <w:vertAlign w:val="subscript"/>
          <w:lang w:val="pt-BR"/>
        </w:rPr>
        <w:t xml:space="preserve">t-1              </w:t>
      </w:r>
      <w:r w:rsidRPr="00F14321">
        <w:rPr>
          <w:lang w:val="pt-BR"/>
        </w:rPr>
        <w:t xml:space="preserve">                       </w:t>
      </w:r>
    </w:p>
    <w:p w14:paraId="3CB596E2" w14:textId="77777777" w:rsidR="007C0359" w:rsidRPr="00F14321" w:rsidRDefault="007C0359" w:rsidP="007C0359">
      <w:pPr>
        <w:ind w:left="-142"/>
        <w:rPr>
          <w:lang w:val="pt-BR"/>
        </w:rPr>
      </w:pPr>
      <w:r w:rsidRPr="00F14321">
        <w:rPr>
          <w:lang w:val="pt-BR"/>
        </w:rPr>
        <w:t xml:space="preserve"> </w:t>
      </w:r>
      <w:r>
        <w:rPr>
          <w:lang w:val="pt-BR"/>
        </w:rPr>
        <w:t xml:space="preserve">     </w:t>
      </w:r>
      <w:r w:rsidRPr="00F14321">
        <w:rPr>
          <w:lang w:val="pt-BR"/>
        </w:rPr>
        <w:t>(0,081)     (0,038)</w:t>
      </w:r>
    </w:p>
    <w:p w14:paraId="1D6A23A9" w14:textId="77777777" w:rsidR="007C0359" w:rsidRDefault="007C0359" w:rsidP="007C0359">
      <w:pPr>
        <w:ind w:left="-142"/>
        <w:rPr>
          <w:lang w:val="pt-BR"/>
        </w:rPr>
      </w:pPr>
    </w:p>
    <w:p w14:paraId="0BE6CFC8" w14:textId="77777777" w:rsidR="007C0359" w:rsidRPr="00F14321" w:rsidRDefault="007C0359" w:rsidP="007C0359">
      <w:pPr>
        <w:ind w:left="-142"/>
        <w:rPr>
          <w:lang w:val="pt-BR"/>
        </w:rPr>
      </w:pPr>
      <w:r w:rsidRPr="00F14321">
        <w:rPr>
          <w:lang w:val="pt-BR"/>
        </w:rPr>
        <w:t>N= 689, R</w:t>
      </w:r>
      <w:r w:rsidRPr="00F14321">
        <w:rPr>
          <w:vertAlign w:val="superscript"/>
          <w:lang w:val="pt-BR"/>
        </w:rPr>
        <w:t>2</w:t>
      </w:r>
      <w:r w:rsidRPr="0078297D">
        <w:rPr>
          <w:vertAlign w:val="superscript"/>
          <w:lang w:val="pt-BR"/>
        </w:rPr>
        <w:t xml:space="preserve"> </w:t>
      </w:r>
      <w:r>
        <w:rPr>
          <w:lang w:val="pt-BR"/>
        </w:rPr>
        <w:t>= 0,0035</w:t>
      </w:r>
      <w:r w:rsidRPr="00F14321">
        <w:rPr>
          <w:lang w:val="pt-BR"/>
        </w:rPr>
        <w:t xml:space="preserve">, </w:t>
      </w:r>
      <w:r w:rsidRPr="00E0262A">
        <w:rPr>
          <w:position w:val="-4"/>
        </w:rPr>
        <w:object w:dxaOrig="440" w:dyaOrig="300" w14:anchorId="3522E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14.65pt" o:ole="">
            <v:imagedata r:id="rId5" o:title=""/>
          </v:shape>
          <o:OLEObject Type="Embed" ProgID="Equation.3" ShapeID="_x0000_i1025" DrawAspect="Content" ObjectID="_1642323859" r:id="rId6"/>
        </w:object>
      </w:r>
      <w:r w:rsidRPr="00F14321">
        <w:rPr>
          <w:vertAlign w:val="superscript"/>
          <w:lang w:val="pt-BR"/>
        </w:rPr>
        <w:t xml:space="preserve">  </w:t>
      </w:r>
      <w:r w:rsidRPr="00F14321">
        <w:rPr>
          <w:lang w:val="pt-BR"/>
        </w:rPr>
        <w:t>= 0,0020</w:t>
      </w:r>
    </w:p>
    <w:p w14:paraId="30BDE6C7" w14:textId="77777777" w:rsidR="007C0359" w:rsidRPr="00F14321" w:rsidRDefault="007C0359" w:rsidP="007C0359">
      <w:pPr>
        <w:ind w:left="-142"/>
        <w:rPr>
          <w:lang w:val="pt-BR"/>
        </w:rPr>
      </w:pPr>
    </w:p>
    <w:p w14:paraId="004B1FD6" w14:textId="77777777" w:rsidR="007C0359" w:rsidRPr="0078297D" w:rsidRDefault="007C0359" w:rsidP="007C0359">
      <w:pPr>
        <w:ind w:left="-142"/>
        <w:rPr>
          <w:lang w:val="pt-BR"/>
        </w:rPr>
      </w:pPr>
      <w:r>
        <w:t>Όπου</w:t>
      </w:r>
      <w:r w:rsidRPr="0078297D">
        <w:rPr>
          <w:lang w:val="pt-BR"/>
        </w:rPr>
        <w:t xml:space="preserve">: </w:t>
      </w:r>
    </w:p>
    <w:p w14:paraId="5D11096A" w14:textId="77777777" w:rsidR="007C0359" w:rsidRPr="00D34AB6" w:rsidRDefault="007C0359" w:rsidP="007C0359">
      <w:pPr>
        <w:ind w:left="-142"/>
      </w:pPr>
      <w:proofErr w:type="gramStart"/>
      <w:r>
        <w:rPr>
          <w:lang w:val="en-US"/>
        </w:rPr>
        <w:t>R</w:t>
      </w:r>
      <w:r w:rsidRPr="00405FD3">
        <w:rPr>
          <w:vertAlign w:val="subscript"/>
          <w:lang w:val="en-US"/>
        </w:rPr>
        <w:t>t</w:t>
      </w:r>
      <w:r>
        <w:rPr>
          <w:vertAlign w:val="subscript"/>
        </w:rPr>
        <w:t xml:space="preserve"> ,</w:t>
      </w:r>
      <w:proofErr w:type="gramEnd"/>
      <w:r>
        <w:rPr>
          <w:vertAlign w:val="subscript"/>
        </w:rPr>
        <w:t xml:space="preserve"> </w:t>
      </w:r>
      <w:r w:rsidRPr="00F14321">
        <w:rPr>
          <w:lang w:val="pt-BR"/>
        </w:rPr>
        <w:t>R</w:t>
      </w:r>
      <w:r w:rsidRPr="00F14321">
        <w:rPr>
          <w:vertAlign w:val="subscript"/>
          <w:lang w:val="pt-BR"/>
        </w:rPr>
        <w:t>t</w:t>
      </w:r>
      <w:r w:rsidRPr="0078297D">
        <w:rPr>
          <w:vertAlign w:val="subscript"/>
        </w:rPr>
        <w:t xml:space="preserve">-1   </w:t>
      </w:r>
      <w:r>
        <w:t xml:space="preserve"> οι εβδομαδιαίες αποδόσεις</w:t>
      </w:r>
      <w:r w:rsidRPr="00405FD3">
        <w:t xml:space="preserve"> </w:t>
      </w:r>
      <w:r>
        <w:t xml:space="preserve">του </w:t>
      </w:r>
      <w:r>
        <w:rPr>
          <w:lang w:val="en-US"/>
        </w:rPr>
        <w:t>NYSE</w:t>
      </w:r>
      <w:r>
        <w:t xml:space="preserve"> τις χρονικές στιγμές </w:t>
      </w:r>
      <w:r>
        <w:rPr>
          <w:lang w:val="en-US"/>
        </w:rPr>
        <w:t>t</w:t>
      </w:r>
      <w:r>
        <w:t xml:space="preserve"> και</w:t>
      </w:r>
      <w:r w:rsidRPr="00D34AB6">
        <w:t xml:space="preserve"> </w:t>
      </w:r>
      <w:r>
        <w:rPr>
          <w:lang w:val="en-US"/>
        </w:rPr>
        <w:t>t</w:t>
      </w:r>
      <w:r>
        <w:t>-1</w:t>
      </w:r>
      <w:r w:rsidRPr="00D34AB6">
        <w:t xml:space="preserve"> </w:t>
      </w:r>
      <w:r>
        <w:t>αντίστοιχα.</w:t>
      </w:r>
    </w:p>
    <w:p w14:paraId="71A31BF2" w14:textId="77777777" w:rsidR="007C0359" w:rsidRDefault="007C0359" w:rsidP="007C0359">
      <w:pPr>
        <w:spacing w:line="264" w:lineRule="auto"/>
        <w:ind w:left="-142"/>
        <w:jc w:val="both"/>
      </w:pPr>
      <w:r>
        <w:t xml:space="preserve">Εντός των παρενθέσεων </w:t>
      </w:r>
      <w:r w:rsidRPr="006B385D">
        <w:t>δίνονται τα τυπικά σφάλματα</w:t>
      </w:r>
      <w:r>
        <w:t>.</w:t>
      </w:r>
    </w:p>
    <w:p w14:paraId="1974057B" w14:textId="77777777" w:rsidR="007C0359" w:rsidRDefault="007C0359" w:rsidP="007C0359">
      <w:pPr>
        <w:spacing w:line="264" w:lineRule="auto"/>
        <w:ind w:left="-142"/>
        <w:jc w:val="both"/>
      </w:pPr>
      <w:r>
        <w:t>Αναλύστε τα εμπειρικά αποτελέσματα καθώς και τις πρακτικές και θεωρητικές τους επιπτώσεις.</w:t>
      </w:r>
    </w:p>
    <w:p w14:paraId="13030F30" w14:textId="77777777" w:rsidR="007C0359" w:rsidRDefault="007C0359"/>
    <w:p w14:paraId="776A4D32" w14:textId="77777777" w:rsidR="007C0359" w:rsidRPr="00AA10EC" w:rsidRDefault="007C0359" w:rsidP="007C0359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3</w:t>
      </w:r>
    </w:p>
    <w:p w14:paraId="4420702C" w14:textId="77777777" w:rsidR="007C0359" w:rsidRDefault="007C0359" w:rsidP="00AA10EC">
      <w:pPr>
        <w:spacing w:line="264" w:lineRule="auto"/>
        <w:ind w:left="-180"/>
        <w:jc w:val="both"/>
      </w:pPr>
      <w:r>
        <w:t xml:space="preserve">Τι γνωρίζετε για τα προβλήματα της αυτοσυσχέτισης, της </w:t>
      </w:r>
      <w:proofErr w:type="spellStart"/>
      <w:r>
        <w:t>ετεροσκεδαστικότητας</w:t>
      </w:r>
      <w:proofErr w:type="spellEnd"/>
      <w:r>
        <w:t xml:space="preserve"> και της </w:t>
      </w:r>
      <w:proofErr w:type="spellStart"/>
      <w:r>
        <w:t>πολυσυγγραμικότητας</w:t>
      </w:r>
      <w:proofErr w:type="spellEnd"/>
      <w:r>
        <w:t>; Αναπτύξτε με συντομία.</w:t>
      </w:r>
    </w:p>
    <w:p w14:paraId="2B7C2F50" w14:textId="77777777" w:rsidR="007C0359" w:rsidRPr="00AA10EC" w:rsidRDefault="007C0359" w:rsidP="007C0359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lastRenderedPageBreak/>
        <w:t xml:space="preserve">Θέμα  </w:t>
      </w:r>
      <w:r w:rsidR="00766758" w:rsidRPr="00AA10EC">
        <w:rPr>
          <w:b/>
          <w:u w:val="single"/>
        </w:rPr>
        <w:t>4</w:t>
      </w:r>
      <w:r w:rsidRPr="00AA10EC">
        <w:rPr>
          <w:b/>
          <w:u w:val="single"/>
        </w:rPr>
        <w:t xml:space="preserve"> </w:t>
      </w:r>
    </w:p>
    <w:p w14:paraId="562FD60B" w14:textId="77777777" w:rsidR="007C0359" w:rsidRPr="00B65F2A" w:rsidRDefault="007C0359" w:rsidP="007C0359">
      <w:pPr>
        <w:spacing w:line="264" w:lineRule="auto"/>
        <w:ind w:left="-180"/>
        <w:jc w:val="both"/>
        <w:rPr>
          <w:b/>
        </w:rPr>
      </w:pPr>
    </w:p>
    <w:p w14:paraId="043356DD" w14:textId="77777777" w:rsidR="007C0359" w:rsidRPr="00CC73E0" w:rsidRDefault="007C0359" w:rsidP="007C0359">
      <w:pPr>
        <w:spacing w:line="264" w:lineRule="auto"/>
        <w:ind w:left="-180"/>
        <w:jc w:val="both"/>
        <w:rPr>
          <w:rFonts w:eastAsia="Calibri"/>
          <w:lang w:eastAsia="en-US"/>
        </w:rPr>
      </w:pPr>
      <w:r w:rsidRPr="00CC73E0">
        <w:rPr>
          <w:rFonts w:eastAsia="Calibri"/>
          <w:lang w:eastAsia="en-US"/>
        </w:rPr>
        <w:t>Στον πίνακα 1 παρουσιάζο</w:t>
      </w:r>
      <w:r>
        <w:rPr>
          <w:rFonts w:eastAsia="Calibri"/>
          <w:lang w:eastAsia="en-US"/>
        </w:rPr>
        <w:t>νται οι μέσες ετήσιες αποδόσεις και</w:t>
      </w:r>
      <w:r w:rsidRPr="00CC73E0">
        <w:rPr>
          <w:rFonts w:eastAsia="Calibri"/>
          <w:lang w:eastAsia="en-US"/>
        </w:rPr>
        <w:t xml:space="preserve"> οι κίνδυνοι (τυπικές αποκλίσεις) για τρεις χρηματιστηριακές αγορές για την περίοδο 1990-201</w:t>
      </w:r>
      <w:r w:rsidR="00766758">
        <w:rPr>
          <w:rFonts w:eastAsia="Calibri"/>
          <w:lang w:eastAsia="en-US"/>
        </w:rPr>
        <w:t>7</w:t>
      </w:r>
      <w:r w:rsidRPr="00CC73E0">
        <w:rPr>
          <w:rFonts w:eastAsia="Calibri"/>
          <w:lang w:eastAsia="en-US"/>
        </w:rPr>
        <w:t xml:space="preserve">. </w:t>
      </w:r>
    </w:p>
    <w:p w14:paraId="40982138" w14:textId="77777777" w:rsidR="007C0359" w:rsidRPr="00C01961" w:rsidRDefault="007C0359" w:rsidP="007C0359">
      <w:pPr>
        <w:spacing w:line="264" w:lineRule="auto"/>
        <w:ind w:left="-180"/>
        <w:jc w:val="center"/>
        <w:rPr>
          <w:rFonts w:eastAsia="Calibri"/>
          <w:b/>
          <w:sz w:val="22"/>
          <w:szCs w:val="22"/>
          <w:lang w:eastAsia="en-US"/>
        </w:rPr>
      </w:pPr>
    </w:p>
    <w:p w14:paraId="273F3F61" w14:textId="77777777" w:rsidR="007C0359" w:rsidRPr="00CC73E0" w:rsidRDefault="007C0359" w:rsidP="007C0359">
      <w:pPr>
        <w:spacing w:line="264" w:lineRule="auto"/>
        <w:ind w:left="-180"/>
        <w:jc w:val="center"/>
        <w:rPr>
          <w:rFonts w:eastAsia="Calibri"/>
          <w:b/>
          <w:lang w:eastAsia="en-US"/>
        </w:rPr>
      </w:pPr>
      <w:r w:rsidRPr="00CC73E0">
        <w:rPr>
          <w:rFonts w:eastAsia="Calibri"/>
          <w:b/>
          <w:lang w:eastAsia="en-US"/>
        </w:rPr>
        <w:t>Πίνακας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678"/>
        <w:gridCol w:w="2006"/>
        <w:gridCol w:w="2001"/>
      </w:tblGrid>
      <w:tr w:rsidR="007C0359" w:rsidRPr="00777E0E" w14:paraId="21ACE647" w14:textId="77777777" w:rsidTr="00766758">
        <w:trPr>
          <w:jc w:val="center"/>
        </w:trPr>
        <w:tc>
          <w:tcPr>
            <w:tcW w:w="2754" w:type="dxa"/>
          </w:tcPr>
          <w:p w14:paraId="406F4481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62" w:type="dxa"/>
          </w:tcPr>
          <w:p w14:paraId="07A3E1A8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</w:rPr>
            </w:pPr>
            <w:r w:rsidRPr="00777E0E">
              <w:rPr>
                <w:b/>
              </w:rPr>
              <w:t>ΓΔΧΑ</w:t>
            </w:r>
          </w:p>
        </w:tc>
        <w:tc>
          <w:tcPr>
            <w:tcW w:w="2132" w:type="dxa"/>
          </w:tcPr>
          <w:p w14:paraId="3514A6E0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  <w:lang w:val="en-US"/>
              </w:rPr>
            </w:pPr>
            <w:r w:rsidRPr="00777E0E">
              <w:rPr>
                <w:b/>
                <w:lang w:val="en-US"/>
              </w:rPr>
              <w:t>Dow Jones</w:t>
            </w:r>
          </w:p>
        </w:tc>
        <w:tc>
          <w:tcPr>
            <w:tcW w:w="2132" w:type="dxa"/>
          </w:tcPr>
          <w:p w14:paraId="7452A5BB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</w:rPr>
            </w:pPr>
            <w:r w:rsidRPr="00777E0E">
              <w:rPr>
                <w:b/>
                <w:lang w:val="en-US"/>
              </w:rPr>
              <w:t>DAX 30</w:t>
            </w:r>
          </w:p>
        </w:tc>
      </w:tr>
      <w:tr w:rsidR="007C0359" w:rsidRPr="00777E0E" w14:paraId="59DE9161" w14:textId="77777777" w:rsidTr="00766758">
        <w:trPr>
          <w:jc w:val="center"/>
        </w:trPr>
        <w:tc>
          <w:tcPr>
            <w:tcW w:w="2754" w:type="dxa"/>
          </w:tcPr>
          <w:p w14:paraId="010B08A4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</w:rPr>
            </w:pPr>
            <w:r w:rsidRPr="00777E0E">
              <w:rPr>
                <w:b/>
              </w:rPr>
              <w:t>Μέση Απόδοση (%)</w:t>
            </w:r>
          </w:p>
        </w:tc>
        <w:tc>
          <w:tcPr>
            <w:tcW w:w="1762" w:type="dxa"/>
          </w:tcPr>
          <w:p w14:paraId="1F571CB3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20%</w:t>
            </w:r>
          </w:p>
        </w:tc>
        <w:tc>
          <w:tcPr>
            <w:tcW w:w="2132" w:type="dxa"/>
          </w:tcPr>
          <w:p w14:paraId="6BF4BD71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10%</w:t>
            </w:r>
          </w:p>
        </w:tc>
        <w:tc>
          <w:tcPr>
            <w:tcW w:w="2132" w:type="dxa"/>
          </w:tcPr>
          <w:p w14:paraId="27148928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12%</w:t>
            </w:r>
          </w:p>
        </w:tc>
      </w:tr>
      <w:tr w:rsidR="007C0359" w:rsidRPr="00777E0E" w14:paraId="61AD98EC" w14:textId="77777777" w:rsidTr="00766758">
        <w:trPr>
          <w:jc w:val="center"/>
        </w:trPr>
        <w:tc>
          <w:tcPr>
            <w:tcW w:w="2754" w:type="dxa"/>
          </w:tcPr>
          <w:p w14:paraId="4A7C2BE0" w14:textId="77777777" w:rsidR="007C0359" w:rsidRPr="00777E0E" w:rsidRDefault="007C0359" w:rsidP="00766758">
            <w:pPr>
              <w:spacing w:line="360" w:lineRule="auto"/>
              <w:jc w:val="center"/>
              <w:rPr>
                <w:b/>
              </w:rPr>
            </w:pPr>
            <w:r w:rsidRPr="00777E0E">
              <w:rPr>
                <w:b/>
              </w:rPr>
              <w:t>Τυπική Απόκλιση (%)</w:t>
            </w:r>
          </w:p>
        </w:tc>
        <w:tc>
          <w:tcPr>
            <w:tcW w:w="1762" w:type="dxa"/>
          </w:tcPr>
          <w:p w14:paraId="18AC10F6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40%</w:t>
            </w:r>
          </w:p>
        </w:tc>
        <w:tc>
          <w:tcPr>
            <w:tcW w:w="2132" w:type="dxa"/>
          </w:tcPr>
          <w:p w14:paraId="1C136604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10%</w:t>
            </w:r>
          </w:p>
        </w:tc>
        <w:tc>
          <w:tcPr>
            <w:tcW w:w="2132" w:type="dxa"/>
          </w:tcPr>
          <w:p w14:paraId="2F3D6738" w14:textId="77777777" w:rsidR="007C0359" w:rsidRPr="00CC73E0" w:rsidRDefault="007C0359" w:rsidP="00766758">
            <w:pPr>
              <w:spacing w:line="360" w:lineRule="auto"/>
              <w:jc w:val="center"/>
            </w:pPr>
            <w:r w:rsidRPr="00CC73E0">
              <w:t>15%</w:t>
            </w:r>
          </w:p>
        </w:tc>
      </w:tr>
    </w:tbl>
    <w:p w14:paraId="5BD07DCF" w14:textId="77777777" w:rsidR="007C0359" w:rsidRDefault="007C0359" w:rsidP="007C0359">
      <w:pPr>
        <w:spacing w:line="360" w:lineRule="auto"/>
        <w:ind w:left="-142"/>
        <w:jc w:val="center"/>
        <w:rPr>
          <w:b/>
        </w:rPr>
      </w:pPr>
    </w:p>
    <w:p w14:paraId="68775380" w14:textId="77777777" w:rsidR="007C0359" w:rsidRPr="00B50C41" w:rsidRDefault="007C0359" w:rsidP="007C0359">
      <w:pPr>
        <w:spacing w:line="264" w:lineRule="auto"/>
        <w:ind w:left="-180"/>
        <w:jc w:val="both"/>
        <w:rPr>
          <w:rFonts w:eastAsia="Calibri"/>
          <w:lang w:eastAsia="en-US"/>
        </w:rPr>
      </w:pPr>
      <w:r w:rsidRPr="00CC73E0">
        <w:rPr>
          <w:rFonts w:eastAsia="Calibri"/>
          <w:lang w:eastAsia="en-US"/>
        </w:rPr>
        <w:t xml:space="preserve">Να αναλύσετε τα ευρήματα και να αναπτύξετε την χρησιμότητα των πληροφοριών αυτών για τους επενδυτές, τους συμβούλους αλλά και τους διαχειριστές χαρτοφυλακίων. </w:t>
      </w:r>
    </w:p>
    <w:p w14:paraId="44CB4585" w14:textId="77777777" w:rsidR="007C0359" w:rsidRDefault="007C0359"/>
    <w:p w14:paraId="4536C7FF" w14:textId="77777777" w:rsidR="007C0359" w:rsidRDefault="007C0359"/>
    <w:p w14:paraId="61A362D1" w14:textId="77777777" w:rsidR="007C0359" w:rsidRPr="00AA10EC" w:rsidRDefault="007C0359" w:rsidP="007C0359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 </w:t>
      </w:r>
      <w:r w:rsidR="00766758" w:rsidRPr="00AA10EC">
        <w:rPr>
          <w:b/>
          <w:u w:val="single"/>
        </w:rPr>
        <w:t>5</w:t>
      </w:r>
      <w:r w:rsidRPr="00AA10EC">
        <w:rPr>
          <w:b/>
          <w:u w:val="single"/>
        </w:rPr>
        <w:t xml:space="preserve"> </w:t>
      </w:r>
    </w:p>
    <w:p w14:paraId="5412DC51" w14:textId="77777777" w:rsidR="007C0359" w:rsidRPr="00DC1CBF" w:rsidRDefault="007C0359" w:rsidP="007C0359">
      <w:pPr>
        <w:spacing w:line="264" w:lineRule="auto"/>
        <w:ind w:left="-180"/>
        <w:jc w:val="both"/>
        <w:rPr>
          <w:b/>
        </w:rPr>
      </w:pPr>
    </w:p>
    <w:p w14:paraId="729AFAF2" w14:textId="77777777" w:rsidR="007C0359" w:rsidRDefault="007C0359" w:rsidP="00AA10EC">
      <w:pPr>
        <w:spacing w:line="264" w:lineRule="auto"/>
      </w:pPr>
      <w:r>
        <w:t xml:space="preserve">α)  </w:t>
      </w:r>
      <w:r w:rsidRPr="006B385D">
        <w:t>Να ορίσετε τ</w:t>
      </w:r>
      <w:r>
        <w:t xml:space="preserve">ην </w:t>
      </w:r>
      <w:r w:rsidRPr="006B385D">
        <w:t xml:space="preserve"> στατιστικ</w:t>
      </w:r>
      <w:r>
        <w:t xml:space="preserve">ή </w:t>
      </w:r>
      <w:r w:rsidRPr="00B65F2A">
        <w:rPr>
          <w:lang w:val="en-US"/>
        </w:rPr>
        <w:t>R</w:t>
      </w:r>
      <w:r w:rsidRPr="00B65F2A">
        <w:rPr>
          <w:vertAlign w:val="superscript"/>
        </w:rPr>
        <w:t>2</w:t>
      </w:r>
      <w:r w:rsidRPr="006B385D">
        <w:t xml:space="preserve"> </w:t>
      </w:r>
      <w:r>
        <w:t xml:space="preserve">, </w:t>
      </w:r>
      <w:r w:rsidR="00430B4B" w:rsidRPr="00E0262A">
        <w:rPr>
          <w:position w:val="-4"/>
        </w:rPr>
        <w:object w:dxaOrig="440" w:dyaOrig="300" w14:anchorId="161CF2F2">
          <v:shape id="_x0000_i1026" type="#_x0000_t75" style="width:22pt;height:14.65pt" o:ole="">
            <v:imagedata r:id="rId5" o:title=""/>
          </v:shape>
          <o:OLEObject Type="Embed" ProgID="Equation.3" ShapeID="_x0000_i1026" DrawAspect="Content" ObjectID="_1642323860" r:id="rId7"/>
        </w:object>
      </w:r>
    </w:p>
    <w:p w14:paraId="3E9A08DB" w14:textId="77777777" w:rsidR="007C0359" w:rsidRDefault="007C0359" w:rsidP="00AA10EC">
      <w:pPr>
        <w:spacing w:line="264" w:lineRule="auto"/>
        <w:jc w:val="both"/>
      </w:pPr>
      <w:r>
        <w:t xml:space="preserve">β) </w:t>
      </w:r>
      <w:r w:rsidRPr="006B385D">
        <w:t>Στο υπόδειγμα της αγοράς (</w:t>
      </w:r>
      <w:r w:rsidRPr="006B385D">
        <w:rPr>
          <w:lang w:val="en-US"/>
        </w:rPr>
        <w:t>market</w:t>
      </w:r>
      <w:r w:rsidRPr="006B385D">
        <w:t xml:space="preserve"> </w:t>
      </w:r>
      <w:r w:rsidRPr="006B385D">
        <w:rPr>
          <w:lang w:val="en-US"/>
        </w:rPr>
        <w:t>model</w:t>
      </w:r>
      <w:r w:rsidRPr="006B385D">
        <w:t xml:space="preserve">), όπου οι αποδόσεις μιας μετοχής παλινδρομούνται στις αποδόσεις του Γενικού Δείκτη του Χρηματιστηρίου, τι εκφράζει η στατιστική 1- </w:t>
      </w:r>
      <w:r w:rsidRPr="006B385D">
        <w:rPr>
          <w:lang w:val="en-US"/>
        </w:rPr>
        <w:t>R</w:t>
      </w:r>
      <w:r w:rsidRPr="006B385D">
        <w:rPr>
          <w:vertAlign w:val="superscript"/>
        </w:rPr>
        <w:t>2</w:t>
      </w:r>
      <w:r w:rsidRPr="006B385D">
        <w:t>. Αναπτύξτε.</w:t>
      </w:r>
    </w:p>
    <w:p w14:paraId="3652859D" w14:textId="77777777" w:rsidR="00766758" w:rsidRDefault="007C0359" w:rsidP="00AA10EC">
      <w:pPr>
        <w:spacing w:line="264" w:lineRule="auto"/>
        <w:jc w:val="both"/>
      </w:pPr>
      <w:r>
        <w:t xml:space="preserve">γ) </w:t>
      </w:r>
      <w:r w:rsidRPr="006B385D">
        <w:t xml:space="preserve">Πως γίνεται ο στατιστικός έλεγχος του </w:t>
      </w:r>
      <w:r w:rsidRPr="006B385D">
        <w:rPr>
          <w:lang w:val="en-US"/>
        </w:rPr>
        <w:t>R</w:t>
      </w:r>
      <w:r w:rsidRPr="006B385D">
        <w:rPr>
          <w:vertAlign w:val="superscript"/>
        </w:rPr>
        <w:t>2</w:t>
      </w:r>
      <w:r w:rsidRPr="006B385D">
        <w:t>; Αναπτύξτε.</w:t>
      </w:r>
    </w:p>
    <w:p w14:paraId="16DC9986" w14:textId="77777777" w:rsidR="00766758" w:rsidRPr="00B65F2A" w:rsidRDefault="00766758" w:rsidP="007C0359">
      <w:pPr>
        <w:spacing w:line="264" w:lineRule="auto"/>
        <w:ind w:left="-142"/>
        <w:jc w:val="both"/>
      </w:pPr>
    </w:p>
    <w:p w14:paraId="27FA7A14" w14:textId="77777777" w:rsidR="007C0359" w:rsidRPr="00AA10EC" w:rsidRDefault="007C0359" w:rsidP="007C0359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 </w:t>
      </w:r>
      <w:r w:rsidR="00766758" w:rsidRPr="00AA10EC">
        <w:rPr>
          <w:b/>
          <w:u w:val="single"/>
        </w:rPr>
        <w:t>6</w:t>
      </w:r>
    </w:p>
    <w:p w14:paraId="4F2A2748" w14:textId="77777777" w:rsidR="007C0359" w:rsidRPr="00DC1CBF" w:rsidRDefault="007C0359" w:rsidP="007C0359">
      <w:pPr>
        <w:spacing w:line="264" w:lineRule="auto"/>
        <w:ind w:left="-180"/>
        <w:jc w:val="both"/>
        <w:rPr>
          <w:b/>
        </w:rPr>
      </w:pPr>
    </w:p>
    <w:p w14:paraId="1F31E314" w14:textId="77777777" w:rsidR="007C0359" w:rsidRPr="00613213" w:rsidRDefault="007C0359" w:rsidP="007C0359">
      <w:pPr>
        <w:spacing w:line="264" w:lineRule="auto"/>
        <w:ind w:left="-180"/>
        <w:jc w:val="both"/>
      </w:pPr>
      <w:r>
        <w:t>Στον πίνακα 2</w:t>
      </w:r>
      <w:r w:rsidRPr="00613213">
        <w:t xml:space="preserve"> παρουσιάζονται οι συσχετίσεις των αποδόσεων των δεικτών </w:t>
      </w:r>
      <w:r w:rsidRPr="00613213">
        <w:rPr>
          <w:lang w:val="en-US"/>
        </w:rPr>
        <w:t>FTSE</w:t>
      </w:r>
      <w:r w:rsidRPr="00613213">
        <w:t xml:space="preserve"> στη Χρηματιστηριακή Αγορά των Αθηνών για την περίοδο </w:t>
      </w:r>
      <w:r w:rsidRPr="00E86FF8">
        <w:t>30/12/2003-31/12/2008</w:t>
      </w:r>
      <w:r w:rsidRPr="00613213">
        <w:t>. Ζητείται</w:t>
      </w:r>
      <w:r>
        <w:t>,</w:t>
      </w:r>
      <w:r w:rsidRPr="00613213">
        <w:t xml:space="preserve"> αφού ορίσετε την έννοια του συντελεστή συσχέτισης κ</w:t>
      </w:r>
      <w:r>
        <w:t>αι τα βασικά χαρακτηριστικά του</w:t>
      </w:r>
      <w:r w:rsidRPr="00613213">
        <w:t xml:space="preserve"> να αξιολογήσετε την χρησιμότητά των πληροφοριών αυτών για τη διαμόρφωση χαρτοφυλακίων από τους επενδυτές, αλλά και από τους διαχειριστές χαρτοφυλακίων. </w:t>
      </w:r>
    </w:p>
    <w:p w14:paraId="57E13BA6" w14:textId="77777777" w:rsidR="007C0359" w:rsidRPr="00613213" w:rsidRDefault="007C0359" w:rsidP="007C0359">
      <w:pPr>
        <w:spacing w:line="264" w:lineRule="auto"/>
        <w:ind w:left="-180"/>
        <w:jc w:val="center"/>
        <w:rPr>
          <w:b/>
          <w:bCs/>
        </w:rPr>
      </w:pPr>
    </w:p>
    <w:p w14:paraId="76BA30C9" w14:textId="77777777" w:rsidR="007C0359" w:rsidRPr="00DC1CBF" w:rsidRDefault="007C0359" w:rsidP="007C0359">
      <w:pPr>
        <w:spacing w:line="264" w:lineRule="auto"/>
        <w:ind w:left="-180"/>
        <w:jc w:val="center"/>
        <w:rPr>
          <w:b/>
          <w:bCs/>
        </w:rPr>
      </w:pPr>
    </w:p>
    <w:p w14:paraId="5FEE74EC" w14:textId="77777777" w:rsidR="00AA10EC" w:rsidRPr="00DC1CBF" w:rsidRDefault="00AA10EC" w:rsidP="007C0359">
      <w:pPr>
        <w:spacing w:line="264" w:lineRule="auto"/>
        <w:ind w:left="-180"/>
        <w:jc w:val="center"/>
        <w:rPr>
          <w:b/>
          <w:bCs/>
        </w:rPr>
      </w:pPr>
    </w:p>
    <w:p w14:paraId="5A085CC5" w14:textId="77777777" w:rsidR="007C0359" w:rsidRPr="00DC1CBF" w:rsidRDefault="007C0359" w:rsidP="007C0359">
      <w:pPr>
        <w:spacing w:line="264" w:lineRule="auto"/>
        <w:ind w:left="-180"/>
        <w:jc w:val="center"/>
        <w:rPr>
          <w:b/>
          <w:bCs/>
        </w:rPr>
      </w:pPr>
    </w:p>
    <w:p w14:paraId="0DDBE602" w14:textId="77777777" w:rsidR="007C0359" w:rsidRPr="00613213" w:rsidRDefault="007C0359" w:rsidP="007C0359">
      <w:pPr>
        <w:spacing w:line="264" w:lineRule="auto"/>
        <w:ind w:left="-180"/>
        <w:jc w:val="center"/>
        <w:rPr>
          <w:b/>
          <w:bCs/>
        </w:rPr>
      </w:pPr>
      <w:r>
        <w:rPr>
          <w:b/>
          <w:bCs/>
        </w:rPr>
        <w:t>Πίνακας 2</w:t>
      </w:r>
    </w:p>
    <w:p w14:paraId="4813988B" w14:textId="77777777" w:rsidR="007C0359" w:rsidRPr="00613213" w:rsidRDefault="007C0359" w:rsidP="007C0359">
      <w:pPr>
        <w:jc w:val="center"/>
        <w:rPr>
          <w:b/>
          <w:bCs/>
        </w:rPr>
      </w:pPr>
      <w:r w:rsidRPr="00613213">
        <w:rPr>
          <w:b/>
          <w:bCs/>
        </w:rPr>
        <w:t xml:space="preserve">Συσχετίσεις αποδόσεων δεικτών </w:t>
      </w:r>
      <w:r w:rsidRPr="00613213">
        <w:rPr>
          <w:b/>
          <w:bCs/>
          <w:lang w:val="en-US"/>
        </w:rPr>
        <w:t>FTSE</w:t>
      </w:r>
      <w:r w:rsidRPr="00613213">
        <w:rPr>
          <w:b/>
          <w:bCs/>
        </w:rPr>
        <w:t xml:space="preserve"> </w:t>
      </w:r>
      <w:r w:rsidRPr="00E86FF8">
        <w:rPr>
          <w:b/>
          <w:bCs/>
        </w:rPr>
        <w:t xml:space="preserve"> </w:t>
      </w:r>
      <w:r w:rsidRPr="00613213">
        <w:rPr>
          <w:b/>
          <w:bCs/>
        </w:rPr>
        <w:t>για την χρονική περίοδο 30/12/2003-31/12/2008</w:t>
      </w:r>
    </w:p>
    <w:tbl>
      <w:tblPr>
        <w:tblW w:w="5885" w:type="dxa"/>
        <w:jc w:val="center"/>
        <w:tblLook w:val="0000" w:firstRow="0" w:lastRow="0" w:firstColumn="0" w:lastColumn="0" w:noHBand="0" w:noVBand="0"/>
      </w:tblPr>
      <w:tblGrid>
        <w:gridCol w:w="1421"/>
        <w:gridCol w:w="1140"/>
        <w:gridCol w:w="1108"/>
        <w:gridCol w:w="1108"/>
        <w:gridCol w:w="1108"/>
      </w:tblGrid>
      <w:tr w:rsidR="007C0359" w:rsidRPr="00613213" w14:paraId="2009744B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E0B7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AC9C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  <w:lang w:val="en-US"/>
              </w:rPr>
              <w:t>FTASE</w:t>
            </w:r>
            <w:r w:rsidRPr="00E86FF8">
              <w:rPr>
                <w:b/>
                <w:bCs/>
              </w:rPr>
              <w:t xml:space="preserve"> 140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DE98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20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6C39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40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629C0D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80</w:t>
            </w:r>
          </w:p>
        </w:tc>
      </w:tr>
      <w:tr w:rsidR="007C0359" w:rsidRPr="00613213" w14:paraId="79E60593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F255C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  <w:lang w:val="en-US"/>
              </w:rPr>
              <w:t>FTASE</w:t>
            </w:r>
            <w:r w:rsidRPr="00E86FF8">
              <w:rPr>
                <w:b/>
                <w:bCs/>
              </w:rPr>
              <w:t xml:space="preserve">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8F22B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3ADB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1B839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C56CA6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0,80</w:t>
            </w:r>
          </w:p>
        </w:tc>
      </w:tr>
      <w:tr w:rsidR="007C0359" w:rsidRPr="00613213" w14:paraId="2FBE9576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E07A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05666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F7C18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7411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997BB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0,72</w:t>
            </w:r>
          </w:p>
        </w:tc>
      </w:tr>
      <w:tr w:rsidR="007C0359" w:rsidRPr="00613213" w14:paraId="2FB458AA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89002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62C9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8C7E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7E96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E1EE8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0,87</w:t>
            </w:r>
          </w:p>
        </w:tc>
      </w:tr>
      <w:tr w:rsidR="007C0359" w:rsidRPr="00613213" w14:paraId="7CE4C5AF" w14:textId="77777777" w:rsidTr="00766758">
        <w:trPr>
          <w:trHeight w:val="9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A35F2" w14:textId="77777777" w:rsidR="007C0359" w:rsidRPr="00E86FF8" w:rsidRDefault="007C0359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443A1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3529A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B2FE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E373F8" w14:textId="77777777" w:rsidR="007C0359" w:rsidRPr="00E86FF8" w:rsidRDefault="007C0359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</w:tr>
    </w:tbl>
    <w:p w14:paraId="6F80CD8C" w14:textId="77777777" w:rsidR="007C0359" w:rsidRDefault="007C0359"/>
    <w:p w14:paraId="3B5A612E" w14:textId="77777777" w:rsidR="00766758" w:rsidRDefault="00766758"/>
    <w:p w14:paraId="154EFC27" w14:textId="77777777" w:rsidR="007C0359" w:rsidRDefault="007C0359"/>
    <w:p w14:paraId="122C20DD" w14:textId="77777777" w:rsidR="00766758" w:rsidRDefault="00766758" w:rsidP="007C0359">
      <w:pPr>
        <w:spacing w:line="264" w:lineRule="auto"/>
        <w:ind w:left="-142"/>
        <w:jc w:val="both"/>
      </w:pPr>
      <w:r w:rsidRPr="00AA10EC">
        <w:rPr>
          <w:b/>
          <w:u w:val="single"/>
        </w:rPr>
        <w:t>Θέμα</w:t>
      </w:r>
      <w:r>
        <w:t xml:space="preserve"> 7</w:t>
      </w:r>
    </w:p>
    <w:p w14:paraId="41F576B5" w14:textId="77777777" w:rsidR="007C0359" w:rsidRDefault="00766758" w:rsidP="007C0359">
      <w:pPr>
        <w:spacing w:line="264" w:lineRule="auto"/>
        <w:ind w:left="-142"/>
        <w:jc w:val="both"/>
      </w:pPr>
      <w:r>
        <w:t>Τ</w:t>
      </w:r>
      <w:r w:rsidR="007C0359">
        <w:t xml:space="preserve">ι γνωρίζετε για τον συντελεστή </w:t>
      </w:r>
      <w:r w:rsidR="007C0359">
        <w:rPr>
          <w:lang w:val="en-US"/>
        </w:rPr>
        <w:t>beta</w:t>
      </w:r>
      <w:r w:rsidR="007C0359" w:rsidRPr="00DB3B8C">
        <w:t xml:space="preserve"> </w:t>
      </w:r>
      <w:r w:rsidR="007C0359">
        <w:t xml:space="preserve">ενός περιουσιακού στοιχείου.  Αναφέρατε μερικές επιθετικές ελληνικές μετοχές και ορισμένες αμυντικές . Υπάρχουν περιουσιακά στοιχεία με μηδενικό </w:t>
      </w:r>
      <w:r w:rsidR="007C0359">
        <w:rPr>
          <w:lang w:val="en-US"/>
        </w:rPr>
        <w:t>beta</w:t>
      </w:r>
      <w:r w:rsidR="007C0359" w:rsidRPr="001F6651">
        <w:t xml:space="preserve"> </w:t>
      </w:r>
      <w:r w:rsidR="007C0359">
        <w:t>σήμερα στην Ελλάδα</w:t>
      </w:r>
      <w:r w:rsidR="007C0359" w:rsidRPr="001F6651">
        <w:t>;</w:t>
      </w:r>
      <w:r w:rsidR="007C0359">
        <w:t xml:space="preserve"> Ποιά είναι αυτά αν υπάρχουν </w:t>
      </w:r>
      <w:r w:rsidR="007C0359" w:rsidRPr="00DB3B8C">
        <w:t xml:space="preserve"> ;</w:t>
      </w:r>
    </w:p>
    <w:p w14:paraId="00D7CEFB" w14:textId="77777777" w:rsidR="007C0359" w:rsidRPr="00DB3B8C" w:rsidRDefault="007C0359" w:rsidP="007C0359">
      <w:pPr>
        <w:spacing w:line="264" w:lineRule="auto"/>
        <w:ind w:left="-142"/>
        <w:jc w:val="both"/>
      </w:pPr>
      <w:r>
        <w:t xml:space="preserve">Υπάρχουν περιουσιακά στοιχεία (επενδύσεις) με αρνητικό </w:t>
      </w:r>
      <w:r>
        <w:rPr>
          <w:lang w:val="en-US"/>
        </w:rPr>
        <w:t>beta</w:t>
      </w:r>
      <w:r w:rsidRPr="00DB3B8C">
        <w:t xml:space="preserve"> ;</w:t>
      </w:r>
      <w:r>
        <w:t>αναφέρατε .</w:t>
      </w:r>
    </w:p>
    <w:p w14:paraId="722C22C3" w14:textId="77777777" w:rsidR="007C0359" w:rsidRDefault="007C0359"/>
    <w:p w14:paraId="223E79CB" w14:textId="77777777" w:rsidR="00430B4B" w:rsidRDefault="00430B4B"/>
    <w:p w14:paraId="51D335CA" w14:textId="77777777" w:rsidR="00430B4B" w:rsidRDefault="00430B4B"/>
    <w:p w14:paraId="2EC36671" w14:textId="77777777" w:rsidR="00430B4B" w:rsidRPr="00AA10EC" w:rsidRDefault="00430B4B" w:rsidP="00430B4B">
      <w:pPr>
        <w:spacing w:line="264" w:lineRule="auto"/>
        <w:ind w:left="-142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</w:t>
      </w:r>
      <w:r w:rsidR="00766758" w:rsidRPr="00AA10EC">
        <w:rPr>
          <w:b/>
          <w:u w:val="single"/>
        </w:rPr>
        <w:t>8</w:t>
      </w:r>
    </w:p>
    <w:p w14:paraId="193DD1A6" w14:textId="77777777" w:rsidR="00430B4B" w:rsidRPr="00D44255" w:rsidRDefault="00430B4B" w:rsidP="00430B4B">
      <w:pPr>
        <w:spacing w:line="264" w:lineRule="auto"/>
        <w:ind w:left="-180"/>
        <w:jc w:val="both"/>
        <w:rPr>
          <w:b/>
        </w:rPr>
      </w:pPr>
    </w:p>
    <w:p w14:paraId="73A0838D" w14:textId="77777777" w:rsidR="00430B4B" w:rsidRDefault="00430B4B" w:rsidP="00430B4B">
      <w:pPr>
        <w:spacing w:line="264" w:lineRule="auto"/>
        <w:ind w:left="-180"/>
        <w:jc w:val="both"/>
      </w:pPr>
      <w:r>
        <w:t xml:space="preserve">α) Τι γνωρίζετε για τον συντελεστή </w:t>
      </w:r>
      <w:r w:rsidRPr="00613213">
        <w:t xml:space="preserve"> συσχέτισης</w:t>
      </w:r>
      <w:r>
        <w:t xml:space="preserve"> δύο μεταβλητών</w:t>
      </w:r>
      <w:r w:rsidRPr="00DB3B8C">
        <w:t>;</w:t>
      </w:r>
      <w:r>
        <w:t xml:space="preserve"> γιατί είναι χρήσιμος στην χρηματοοικ</w:t>
      </w:r>
      <w:r w:rsidR="00766758">
        <w:t>ονομική και που χρησιμοποιείται</w:t>
      </w:r>
      <w:r w:rsidRPr="001F6651">
        <w:t>;</w:t>
      </w:r>
      <w:r w:rsidR="00766758">
        <w:t xml:space="preserve"> </w:t>
      </w:r>
      <w:r>
        <w:t xml:space="preserve">Αναπτύξτε τα χαρακτηριστικά του </w:t>
      </w:r>
      <w:r w:rsidRPr="00434C11">
        <w:t>.</w:t>
      </w:r>
      <w:r w:rsidRPr="00613213">
        <w:t xml:space="preserve"> </w:t>
      </w:r>
    </w:p>
    <w:p w14:paraId="6FE3A58A" w14:textId="77777777" w:rsidR="00430B4B" w:rsidRDefault="00430B4B"/>
    <w:p w14:paraId="0B529FF0" w14:textId="77777777" w:rsidR="00430B4B" w:rsidRDefault="00430B4B"/>
    <w:p w14:paraId="7BCE76F3" w14:textId="77777777" w:rsidR="00430B4B" w:rsidRPr="00AA10EC" w:rsidRDefault="00430B4B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</w:t>
      </w:r>
      <w:r w:rsidR="00766758" w:rsidRPr="00AA10EC">
        <w:rPr>
          <w:b/>
          <w:u w:val="single"/>
        </w:rPr>
        <w:t>9</w:t>
      </w:r>
    </w:p>
    <w:p w14:paraId="3AB65465" w14:textId="77777777" w:rsidR="00430B4B" w:rsidRDefault="00430B4B" w:rsidP="00430B4B">
      <w:pPr>
        <w:spacing w:line="264" w:lineRule="auto"/>
        <w:ind w:left="-180"/>
        <w:jc w:val="both"/>
        <w:rPr>
          <w:b/>
        </w:rPr>
      </w:pPr>
    </w:p>
    <w:p w14:paraId="7FD073F0" w14:textId="77777777" w:rsidR="00430B4B" w:rsidRDefault="00430B4B" w:rsidP="00430B4B">
      <w:r>
        <w:t xml:space="preserve">Σε ποιες περιπτώσεις είναι χρήσιμη η οικονομετρική και στατιστική ανάλυση. Αναπτύξτε φέρνοντας ένα παράδειγμα </w:t>
      </w:r>
    </w:p>
    <w:p w14:paraId="7AFCC8CD" w14:textId="77777777" w:rsidR="00766758" w:rsidRDefault="00766758" w:rsidP="00430B4B"/>
    <w:p w14:paraId="4EB0622C" w14:textId="77777777" w:rsidR="00430B4B" w:rsidRPr="00AA10EC" w:rsidRDefault="00430B4B" w:rsidP="00430B4B">
      <w:pPr>
        <w:rPr>
          <w:u w:val="single"/>
        </w:rPr>
      </w:pPr>
    </w:p>
    <w:p w14:paraId="5FB31C02" w14:textId="77777777" w:rsidR="00430B4B" w:rsidRPr="00AA10EC" w:rsidRDefault="00430B4B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1</w:t>
      </w:r>
      <w:r w:rsidR="00766758" w:rsidRPr="00AA10EC">
        <w:rPr>
          <w:b/>
          <w:u w:val="single"/>
        </w:rPr>
        <w:t>0</w:t>
      </w:r>
      <w:r w:rsidRPr="00AA10EC">
        <w:rPr>
          <w:b/>
          <w:u w:val="single"/>
        </w:rPr>
        <w:t xml:space="preserve"> </w:t>
      </w:r>
    </w:p>
    <w:p w14:paraId="75465363" w14:textId="77777777" w:rsidR="00430B4B" w:rsidRDefault="00430B4B" w:rsidP="00430B4B">
      <w:r>
        <w:t xml:space="preserve">Τι γνωρίζετε για τα προβλήματα της αυτοσυσχέτισης, της </w:t>
      </w:r>
      <w:proofErr w:type="spellStart"/>
      <w:r>
        <w:t>ετεροσκεδαστικότητας</w:t>
      </w:r>
      <w:proofErr w:type="spellEnd"/>
      <w:r>
        <w:t xml:space="preserve"> και της </w:t>
      </w:r>
      <w:proofErr w:type="spellStart"/>
      <w:r>
        <w:t>πολυσυγγραμικότητας</w:t>
      </w:r>
      <w:proofErr w:type="spellEnd"/>
      <w:r>
        <w:t>; Αναπτύξτε με συντομία</w:t>
      </w:r>
    </w:p>
    <w:p w14:paraId="25F9F4ED" w14:textId="77777777" w:rsidR="00766758" w:rsidRDefault="00766758" w:rsidP="00430B4B"/>
    <w:p w14:paraId="0135FA99" w14:textId="77777777" w:rsidR="00430B4B" w:rsidRDefault="00430B4B" w:rsidP="00430B4B"/>
    <w:p w14:paraId="0EDB7289" w14:textId="77777777" w:rsidR="00430B4B" w:rsidRPr="00AA10EC" w:rsidRDefault="00766758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11</w:t>
      </w:r>
    </w:p>
    <w:p w14:paraId="13C5B908" w14:textId="77777777" w:rsidR="00430B4B" w:rsidRPr="00504881" w:rsidRDefault="00430B4B" w:rsidP="00430B4B">
      <w:pPr>
        <w:spacing w:line="264" w:lineRule="auto"/>
        <w:ind w:left="-142"/>
        <w:jc w:val="both"/>
      </w:pPr>
      <w:r>
        <w:t>Ε</w:t>
      </w:r>
      <w:r w:rsidRPr="00504881">
        <w:t xml:space="preserve">κτιμήθηκε η σχέση των κατάλοιπων </w:t>
      </w:r>
      <w:r w:rsidRPr="00504881">
        <w:rPr>
          <w:position w:val="-14"/>
        </w:rPr>
        <w:object w:dxaOrig="320" w:dyaOrig="380" w14:anchorId="6FA0DC84">
          <v:shape id="_x0000_i1027" type="#_x0000_t75" style="width:15.35pt;height:19.35pt" o:ole="">
            <v:imagedata r:id="rId8" o:title=""/>
          </v:shape>
          <o:OLEObject Type="Embed" ProgID="Equation.3" ShapeID="_x0000_i1027" DrawAspect="Content" ObjectID="_1642323861" r:id="rId9"/>
        </w:object>
      </w:r>
      <w:r w:rsidRPr="00504881">
        <w:t xml:space="preserve"> με τις χρονικές υστερήσεις τους </w:t>
      </w:r>
      <w:r w:rsidRPr="00504881">
        <w:rPr>
          <w:position w:val="-12"/>
        </w:rPr>
        <w:object w:dxaOrig="480" w:dyaOrig="360" w14:anchorId="0938B369">
          <v:shape id="_x0000_i1028" type="#_x0000_t75" style="width:24pt;height:18.65pt" o:ole="">
            <v:imagedata r:id="rId10" o:title=""/>
          </v:shape>
          <o:OLEObject Type="Embed" ProgID="Equation.3" ShapeID="_x0000_i1028" DrawAspect="Content" ObjectID="_1642323862" r:id="rId11"/>
        </w:object>
      </w:r>
      <w:r w:rsidRPr="00504881">
        <w:t xml:space="preserve">, </w:t>
      </w:r>
      <w:r w:rsidRPr="00504881">
        <w:rPr>
          <w:position w:val="-12"/>
        </w:rPr>
        <w:object w:dxaOrig="520" w:dyaOrig="360" w14:anchorId="5F477592">
          <v:shape id="_x0000_i1029" type="#_x0000_t75" style="width:26.65pt;height:18.65pt" o:ole="">
            <v:imagedata r:id="rId12" o:title=""/>
          </v:shape>
          <o:OLEObject Type="Embed" ProgID="Equation.3" ShapeID="_x0000_i1029" DrawAspect="Content" ObjectID="_1642323863" r:id="rId13"/>
        </w:object>
      </w:r>
      <w:r w:rsidRPr="00504881">
        <w:t xml:space="preserve">, </w:t>
      </w:r>
      <w:r w:rsidRPr="00504881">
        <w:rPr>
          <w:position w:val="-12"/>
        </w:rPr>
        <w:object w:dxaOrig="520" w:dyaOrig="360" w14:anchorId="5376453E">
          <v:shape id="_x0000_i1030" type="#_x0000_t75" style="width:26.65pt;height:18.65pt" o:ole="">
            <v:imagedata r:id="rId14" o:title=""/>
          </v:shape>
          <o:OLEObject Type="Embed" ProgID="Equation.3" ShapeID="_x0000_i1030" DrawAspect="Content" ObjectID="_1642323864" r:id="rId15"/>
        </w:object>
      </w:r>
      <w:r w:rsidRPr="00504881">
        <w:t>,</w:t>
      </w:r>
      <w:r w:rsidRPr="00504881">
        <w:rPr>
          <w:position w:val="-12"/>
        </w:rPr>
        <w:object w:dxaOrig="520" w:dyaOrig="360" w14:anchorId="7B4B483E">
          <v:shape id="_x0000_i1031" type="#_x0000_t75" style="width:26.65pt;height:18.65pt" o:ole="">
            <v:imagedata r:id="rId16" o:title=""/>
          </v:shape>
          <o:OLEObject Type="Embed" ProgID="Equation.3" ShapeID="_x0000_i1031" DrawAspect="Content" ObjectID="_1642323865" r:id="rId17"/>
        </w:object>
      </w:r>
      <w:r>
        <w:t>για ένα δείγμα 50 παρατηρήσεων.</w:t>
      </w:r>
    </w:p>
    <w:p w14:paraId="23581CEC" w14:textId="77777777" w:rsidR="00430B4B" w:rsidRPr="00504881" w:rsidRDefault="00430B4B" w:rsidP="00430B4B">
      <w:pPr>
        <w:spacing w:line="264" w:lineRule="auto"/>
        <w:ind w:left="-142"/>
        <w:jc w:val="both"/>
      </w:pPr>
    </w:p>
    <w:p w14:paraId="065A3DA0" w14:textId="77777777" w:rsidR="00430B4B" w:rsidRPr="00504881" w:rsidRDefault="00430B4B" w:rsidP="00430B4B">
      <w:pPr>
        <w:spacing w:line="264" w:lineRule="auto"/>
        <w:ind w:left="-142"/>
        <w:jc w:val="both"/>
      </w:pPr>
      <w:r w:rsidRPr="00504881">
        <w:t>Τα εμπειρικά αποτελέσματα ήταν:</w:t>
      </w:r>
    </w:p>
    <w:p w14:paraId="4EFAE194" w14:textId="77777777" w:rsidR="00430B4B" w:rsidRPr="00504881" w:rsidRDefault="00430B4B" w:rsidP="00430B4B">
      <w:pPr>
        <w:spacing w:line="264" w:lineRule="auto"/>
        <w:ind w:left="-142"/>
        <w:jc w:val="both"/>
      </w:pPr>
    </w:p>
    <w:p w14:paraId="09ACC0AD" w14:textId="77777777" w:rsidR="00430B4B" w:rsidRPr="00504881" w:rsidRDefault="00430B4B" w:rsidP="00430B4B">
      <w:pPr>
        <w:spacing w:line="264" w:lineRule="auto"/>
        <w:ind w:left="-142"/>
        <w:jc w:val="both"/>
      </w:pPr>
      <w:r w:rsidRPr="00504881">
        <w:rPr>
          <w:position w:val="-14"/>
        </w:rPr>
        <w:object w:dxaOrig="320" w:dyaOrig="380" w14:anchorId="121F61DF">
          <v:shape id="_x0000_i1032" type="#_x0000_t75" style="width:15.35pt;height:19.35pt" o:ole="">
            <v:imagedata r:id="rId18" o:title=""/>
          </v:shape>
          <o:OLEObject Type="Embed" ProgID="Equation.3" ShapeID="_x0000_i1032" DrawAspect="Content" ObjectID="_1642323866" r:id="rId19"/>
        </w:object>
      </w:r>
      <w:r w:rsidRPr="00504881">
        <w:t xml:space="preserve">= 0,1 + 0,8 </w:t>
      </w:r>
      <w:r w:rsidRPr="00504881">
        <w:rPr>
          <w:position w:val="-14"/>
        </w:rPr>
        <w:object w:dxaOrig="460" w:dyaOrig="380" w14:anchorId="58FA587D">
          <v:shape id="_x0000_i1033" type="#_x0000_t75" style="width:23.35pt;height:19.35pt" o:ole="">
            <v:imagedata r:id="rId20" o:title=""/>
          </v:shape>
          <o:OLEObject Type="Embed" ProgID="Equation.3" ShapeID="_x0000_i1033" DrawAspect="Content" ObjectID="_1642323867" r:id="rId21"/>
        </w:object>
      </w:r>
      <w:r w:rsidRPr="00504881">
        <w:t xml:space="preserve"> </w:t>
      </w:r>
      <w:r>
        <w:t xml:space="preserve">  </w:t>
      </w:r>
      <w:r w:rsidRPr="00504881">
        <w:rPr>
          <w:lang w:val="pt-BR"/>
        </w:rPr>
        <w:t>R</w:t>
      </w:r>
      <w:r w:rsidRPr="00504881">
        <w:rPr>
          <w:vertAlign w:val="superscript"/>
        </w:rPr>
        <w:t xml:space="preserve">2 </w:t>
      </w:r>
      <w:r w:rsidRPr="00504881">
        <w:t xml:space="preserve">= 0,20                   </w:t>
      </w:r>
    </w:p>
    <w:p w14:paraId="436856CF" w14:textId="77777777" w:rsidR="00430B4B" w:rsidRPr="00504881" w:rsidRDefault="00430B4B" w:rsidP="00430B4B">
      <w:pPr>
        <w:tabs>
          <w:tab w:val="left" w:pos="1965"/>
        </w:tabs>
        <w:spacing w:line="264" w:lineRule="auto"/>
        <w:ind w:left="-142"/>
        <w:jc w:val="both"/>
      </w:pPr>
      <w:r w:rsidRPr="00504881">
        <w:t xml:space="preserve">        (0,3)  (0,6)            </w:t>
      </w:r>
    </w:p>
    <w:p w14:paraId="14D71240" w14:textId="77777777" w:rsidR="00430B4B" w:rsidRPr="00504881" w:rsidRDefault="00430B4B" w:rsidP="00430B4B">
      <w:pPr>
        <w:tabs>
          <w:tab w:val="left" w:pos="1965"/>
        </w:tabs>
        <w:spacing w:line="264" w:lineRule="auto"/>
        <w:ind w:left="-142"/>
        <w:jc w:val="both"/>
      </w:pPr>
    </w:p>
    <w:p w14:paraId="19E3ECEE" w14:textId="77777777" w:rsidR="00430B4B" w:rsidRPr="00504881" w:rsidRDefault="00430B4B" w:rsidP="00430B4B">
      <w:pPr>
        <w:spacing w:line="264" w:lineRule="auto"/>
        <w:ind w:left="-142"/>
        <w:jc w:val="both"/>
      </w:pPr>
      <w:r w:rsidRPr="00504881">
        <w:rPr>
          <w:position w:val="-14"/>
        </w:rPr>
        <w:object w:dxaOrig="320" w:dyaOrig="380" w14:anchorId="1721A142">
          <v:shape id="_x0000_i1034" type="#_x0000_t75" style="width:15.35pt;height:19.35pt" o:ole="">
            <v:imagedata r:id="rId22" o:title=""/>
          </v:shape>
          <o:OLEObject Type="Embed" ProgID="Equation.3" ShapeID="_x0000_i1034" DrawAspect="Content" ObjectID="_1642323868" r:id="rId23"/>
        </w:object>
      </w:r>
      <w:r w:rsidRPr="00504881">
        <w:t xml:space="preserve">= 0,1 + 0,8 </w:t>
      </w:r>
      <w:r w:rsidRPr="00504881">
        <w:rPr>
          <w:position w:val="-14"/>
        </w:rPr>
        <w:object w:dxaOrig="460" w:dyaOrig="380" w14:anchorId="00341F65">
          <v:shape id="_x0000_i1035" type="#_x0000_t75" style="width:23.35pt;height:19.35pt" o:ole="">
            <v:imagedata r:id="rId24" o:title=""/>
          </v:shape>
          <o:OLEObject Type="Embed" ProgID="Equation.3" ShapeID="_x0000_i1035" DrawAspect="Content" ObjectID="_1642323869" r:id="rId25"/>
        </w:object>
      </w:r>
      <w:r w:rsidRPr="00504881">
        <w:t xml:space="preserve"> + 0,5 </w:t>
      </w:r>
      <w:r w:rsidRPr="00504881">
        <w:rPr>
          <w:position w:val="-14"/>
        </w:rPr>
        <w:object w:dxaOrig="499" w:dyaOrig="380" w14:anchorId="6AA524EE">
          <v:shape id="_x0000_i1036" type="#_x0000_t75" style="width:24.65pt;height:19.35pt" o:ole="">
            <v:imagedata r:id="rId26" o:title=""/>
          </v:shape>
          <o:OLEObject Type="Embed" ProgID="Equation.3" ShapeID="_x0000_i1036" DrawAspect="Content" ObjectID="_1642323870" r:id="rId27"/>
        </w:object>
      </w:r>
      <w:r w:rsidRPr="00504881">
        <w:t xml:space="preserve"> + 0,3 </w:t>
      </w:r>
      <w:r w:rsidRPr="00504881">
        <w:rPr>
          <w:position w:val="-14"/>
        </w:rPr>
        <w:object w:dxaOrig="480" w:dyaOrig="380" w14:anchorId="5C86A3FD">
          <v:shape id="_x0000_i1037" type="#_x0000_t75" style="width:24pt;height:19.35pt" o:ole="">
            <v:imagedata r:id="rId28" o:title=""/>
          </v:shape>
          <o:OLEObject Type="Embed" ProgID="Equation.3" ShapeID="_x0000_i1037" DrawAspect="Content" ObjectID="_1642323871" r:id="rId29"/>
        </w:object>
      </w:r>
      <w:r w:rsidRPr="00504881">
        <w:t xml:space="preserve"> + 0,1 </w:t>
      </w:r>
      <w:r w:rsidRPr="00504881">
        <w:rPr>
          <w:position w:val="-14"/>
        </w:rPr>
        <w:object w:dxaOrig="499" w:dyaOrig="380" w14:anchorId="344E0DDB">
          <v:shape id="_x0000_i1038" type="#_x0000_t75" style="width:24.65pt;height:19.35pt" o:ole="">
            <v:imagedata r:id="rId30" o:title=""/>
          </v:shape>
          <o:OLEObject Type="Embed" ProgID="Equation.3" ShapeID="_x0000_i1038" DrawAspect="Content" ObjectID="_1642323872" r:id="rId31"/>
        </w:object>
      </w:r>
      <w:r w:rsidRPr="00504881">
        <w:t xml:space="preserve">     </w:t>
      </w:r>
      <w:r w:rsidRPr="00504881">
        <w:rPr>
          <w:lang w:val="pt-BR"/>
        </w:rPr>
        <w:t>R</w:t>
      </w:r>
      <w:r w:rsidRPr="00504881">
        <w:rPr>
          <w:vertAlign w:val="superscript"/>
        </w:rPr>
        <w:t xml:space="preserve">2 </w:t>
      </w:r>
      <w:r w:rsidRPr="00504881">
        <w:t xml:space="preserve">= 0,30                   </w:t>
      </w:r>
    </w:p>
    <w:p w14:paraId="58052B78" w14:textId="77777777" w:rsidR="00430B4B" w:rsidRPr="00504881" w:rsidRDefault="00430B4B" w:rsidP="00430B4B">
      <w:pPr>
        <w:tabs>
          <w:tab w:val="left" w:pos="1965"/>
        </w:tabs>
        <w:spacing w:line="264" w:lineRule="auto"/>
        <w:ind w:left="-142"/>
        <w:jc w:val="both"/>
      </w:pPr>
      <w:r w:rsidRPr="00504881">
        <w:t xml:space="preserve">       (0,3)   (0,3)            (0,5)           (0,6)           (0,8)</w:t>
      </w:r>
    </w:p>
    <w:p w14:paraId="59617F99" w14:textId="77777777" w:rsidR="00430B4B" w:rsidRPr="00504881" w:rsidRDefault="00430B4B" w:rsidP="00430B4B">
      <w:pPr>
        <w:spacing w:line="264" w:lineRule="auto"/>
        <w:ind w:left="-142"/>
        <w:jc w:val="both"/>
      </w:pPr>
    </w:p>
    <w:p w14:paraId="0C68E4BB" w14:textId="77777777" w:rsidR="00430B4B" w:rsidRPr="00504881" w:rsidRDefault="00430B4B" w:rsidP="00430B4B">
      <w:pPr>
        <w:spacing w:line="264" w:lineRule="auto"/>
        <w:ind w:left="-142"/>
        <w:jc w:val="both"/>
      </w:pPr>
      <w:r w:rsidRPr="00504881">
        <w:t>(εντός των παρενθέσεων δίνονται τα τυπικά σφάλματα)</w:t>
      </w:r>
    </w:p>
    <w:p w14:paraId="2F1B8CBD" w14:textId="77777777" w:rsidR="00430B4B" w:rsidRPr="00504881" w:rsidRDefault="00430B4B" w:rsidP="00430B4B">
      <w:pPr>
        <w:spacing w:line="264" w:lineRule="auto"/>
        <w:ind w:left="-142"/>
        <w:jc w:val="both"/>
      </w:pPr>
    </w:p>
    <w:p w14:paraId="4EF2E7FB" w14:textId="77777777" w:rsidR="00430B4B" w:rsidRDefault="00430B4B" w:rsidP="00430B4B">
      <w:pPr>
        <w:spacing w:line="264" w:lineRule="auto"/>
        <w:ind w:left="-180"/>
        <w:jc w:val="both"/>
      </w:pPr>
      <w:r w:rsidRPr="00504881">
        <w:t>Ζητείται να ερμηνεύσετε εξονυχιστικά όλα τα εμπειρικά αποτελέσματα.</w:t>
      </w:r>
    </w:p>
    <w:p w14:paraId="57BA604C" w14:textId="77777777" w:rsidR="00AA10EC" w:rsidRDefault="00AA10EC" w:rsidP="00430B4B">
      <w:pPr>
        <w:spacing w:line="264" w:lineRule="auto"/>
        <w:ind w:left="-180"/>
        <w:jc w:val="both"/>
      </w:pPr>
    </w:p>
    <w:p w14:paraId="240D34D4" w14:textId="77777777" w:rsidR="00AA10EC" w:rsidRDefault="00AA10EC" w:rsidP="00430B4B">
      <w:pPr>
        <w:spacing w:line="264" w:lineRule="auto"/>
        <w:ind w:left="-180"/>
        <w:jc w:val="both"/>
      </w:pPr>
    </w:p>
    <w:p w14:paraId="29B06E1A" w14:textId="77777777" w:rsidR="00AA10EC" w:rsidRPr="00504881" w:rsidRDefault="00AA10EC" w:rsidP="00430B4B">
      <w:pPr>
        <w:spacing w:line="264" w:lineRule="auto"/>
        <w:ind w:left="-180"/>
        <w:jc w:val="both"/>
      </w:pPr>
    </w:p>
    <w:p w14:paraId="707CA10D" w14:textId="77777777" w:rsidR="00430B4B" w:rsidRDefault="00430B4B" w:rsidP="00430B4B"/>
    <w:p w14:paraId="783B661B" w14:textId="77777777" w:rsidR="00430B4B" w:rsidRDefault="00430B4B" w:rsidP="00430B4B"/>
    <w:p w14:paraId="19C919B7" w14:textId="77777777" w:rsidR="00430B4B" w:rsidRPr="00AA10EC" w:rsidRDefault="00430B4B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</w:t>
      </w:r>
      <w:r w:rsidR="00766758" w:rsidRPr="00AA10EC">
        <w:rPr>
          <w:b/>
          <w:u w:val="single"/>
        </w:rPr>
        <w:t xml:space="preserve"> 12</w:t>
      </w:r>
      <w:r w:rsidRPr="00AA10EC">
        <w:rPr>
          <w:b/>
          <w:u w:val="single"/>
        </w:rPr>
        <w:t xml:space="preserve"> </w:t>
      </w:r>
    </w:p>
    <w:p w14:paraId="52EC375A" w14:textId="77777777" w:rsidR="00430B4B" w:rsidRDefault="00430B4B" w:rsidP="00430B4B">
      <w:pPr>
        <w:spacing w:line="264" w:lineRule="auto"/>
        <w:ind w:left="-180"/>
        <w:jc w:val="both"/>
      </w:pPr>
      <w:r>
        <w:t xml:space="preserve">Στον πίνακα </w:t>
      </w:r>
      <w:r w:rsidRPr="007558D6">
        <w:t xml:space="preserve">1 </w:t>
      </w:r>
      <w:r>
        <w:t xml:space="preserve">παρουσιάζονται οι ετήσιες αποδόσεις, η μέση απόδοση και η τυπική απόκλιση για δύο χρηματιστηριακές αγορές, των Αθηνών και της Νέας Υόρκης. Αναλύστε τα ευρήματα και αναπτύξτε την χρησιμότητα της πληροφορίας αυτής για έναν επενδυτή και για έναν σύμβουλο επενδύσεων. </w:t>
      </w:r>
    </w:p>
    <w:p w14:paraId="4B146889" w14:textId="77777777" w:rsidR="00430B4B" w:rsidRDefault="00430B4B" w:rsidP="00430B4B">
      <w:pPr>
        <w:spacing w:line="264" w:lineRule="auto"/>
        <w:ind w:left="-180"/>
        <w:jc w:val="center"/>
        <w:rPr>
          <w:b/>
        </w:rPr>
      </w:pPr>
    </w:p>
    <w:p w14:paraId="68FB3EBC" w14:textId="77777777" w:rsidR="00430B4B" w:rsidRDefault="00430B4B" w:rsidP="00430B4B">
      <w:pPr>
        <w:spacing w:line="264" w:lineRule="auto"/>
        <w:ind w:left="-180"/>
        <w:jc w:val="center"/>
        <w:rPr>
          <w:b/>
        </w:rPr>
      </w:pPr>
    </w:p>
    <w:p w14:paraId="09A2B2E1" w14:textId="77777777" w:rsidR="00430B4B" w:rsidRDefault="00430B4B" w:rsidP="00430B4B">
      <w:pPr>
        <w:spacing w:line="264" w:lineRule="auto"/>
        <w:ind w:left="-180"/>
        <w:jc w:val="center"/>
        <w:rPr>
          <w:b/>
        </w:rPr>
      </w:pPr>
    </w:p>
    <w:p w14:paraId="41B50987" w14:textId="77777777" w:rsidR="00430B4B" w:rsidRDefault="00430B4B" w:rsidP="00430B4B">
      <w:pPr>
        <w:spacing w:line="264" w:lineRule="auto"/>
        <w:ind w:left="-180"/>
        <w:jc w:val="center"/>
        <w:rPr>
          <w:b/>
        </w:rPr>
      </w:pPr>
    </w:p>
    <w:p w14:paraId="593B44D3" w14:textId="77777777" w:rsidR="00430B4B" w:rsidRPr="00DC1CBF" w:rsidRDefault="00430B4B" w:rsidP="00430B4B">
      <w:pPr>
        <w:spacing w:line="264" w:lineRule="auto"/>
        <w:ind w:left="-180"/>
        <w:jc w:val="center"/>
        <w:rPr>
          <w:b/>
        </w:rPr>
      </w:pPr>
      <w:r>
        <w:rPr>
          <w:b/>
        </w:rPr>
        <w:t xml:space="preserve">Πίνακας </w:t>
      </w:r>
      <w:r w:rsidRPr="00DC1CBF">
        <w:rPr>
          <w:b/>
        </w:rPr>
        <w:t>1</w:t>
      </w:r>
    </w:p>
    <w:p w14:paraId="51CC491D" w14:textId="77777777" w:rsidR="00430B4B" w:rsidRPr="00247D26" w:rsidRDefault="00430B4B" w:rsidP="00430B4B">
      <w:pPr>
        <w:spacing w:line="264" w:lineRule="auto"/>
        <w:ind w:left="-180"/>
        <w:jc w:val="center"/>
        <w:rPr>
          <w:b/>
        </w:rPr>
      </w:pPr>
      <w:r>
        <w:rPr>
          <w:b/>
        </w:rPr>
        <w:t>Η πορεία των χρηματιστηρίων της Αθήνας και των ΗΠΑ</w:t>
      </w:r>
    </w:p>
    <w:p w14:paraId="251DBE0B" w14:textId="77777777" w:rsidR="00430B4B" w:rsidRPr="00247D26" w:rsidRDefault="00430B4B" w:rsidP="00430B4B">
      <w:pPr>
        <w:spacing w:line="264" w:lineRule="auto"/>
        <w:ind w:left="-180"/>
        <w:jc w:val="center"/>
        <w:rPr>
          <w:b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174"/>
        <w:gridCol w:w="1544"/>
        <w:gridCol w:w="1544"/>
      </w:tblGrid>
      <w:tr w:rsidR="00430B4B" w:rsidRPr="007558D6" w14:paraId="3D140782" w14:textId="77777777" w:rsidTr="00766758">
        <w:trPr>
          <w:trHeight w:val="319"/>
          <w:jc w:val="center"/>
        </w:trPr>
        <w:tc>
          <w:tcPr>
            <w:tcW w:w="2174" w:type="dxa"/>
          </w:tcPr>
          <w:p w14:paraId="0110840A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</w:tcPr>
          <w:p w14:paraId="71A63784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Χρηματιστήριο Αθηνών</w:t>
            </w:r>
          </w:p>
        </w:tc>
        <w:tc>
          <w:tcPr>
            <w:tcW w:w="1544" w:type="dxa"/>
          </w:tcPr>
          <w:p w14:paraId="10ACB287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Χρηματιστήριο</w:t>
            </w:r>
          </w:p>
          <w:p w14:paraId="4C498F87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ΗΠΑ</w:t>
            </w:r>
          </w:p>
        </w:tc>
      </w:tr>
      <w:tr w:rsidR="00430B4B" w:rsidRPr="007558D6" w14:paraId="08F6775D" w14:textId="77777777" w:rsidTr="00766758">
        <w:trPr>
          <w:trHeight w:val="319"/>
          <w:jc w:val="center"/>
        </w:trPr>
        <w:tc>
          <w:tcPr>
            <w:tcW w:w="2174" w:type="dxa"/>
          </w:tcPr>
          <w:p w14:paraId="4470DB6C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1990</w:t>
            </w:r>
          </w:p>
        </w:tc>
        <w:tc>
          <w:tcPr>
            <w:tcW w:w="1544" w:type="dxa"/>
          </w:tcPr>
          <w:p w14:paraId="389E85DE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102,86%</w:t>
            </w:r>
          </w:p>
        </w:tc>
        <w:tc>
          <w:tcPr>
            <w:tcW w:w="1544" w:type="dxa"/>
          </w:tcPr>
          <w:p w14:paraId="3482620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-4,34%</w:t>
            </w:r>
          </w:p>
        </w:tc>
      </w:tr>
      <w:tr w:rsidR="00430B4B" w:rsidRPr="007558D6" w14:paraId="600BEC91" w14:textId="77777777" w:rsidTr="00766758">
        <w:trPr>
          <w:trHeight w:val="328"/>
          <w:jc w:val="center"/>
        </w:trPr>
        <w:tc>
          <w:tcPr>
            <w:tcW w:w="2174" w:type="dxa"/>
          </w:tcPr>
          <w:p w14:paraId="724DEAB2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1991</w:t>
            </w:r>
          </w:p>
        </w:tc>
        <w:tc>
          <w:tcPr>
            <w:tcW w:w="1544" w:type="dxa"/>
          </w:tcPr>
          <w:p w14:paraId="3231AC8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-13,12%</w:t>
            </w:r>
          </w:p>
        </w:tc>
        <w:tc>
          <w:tcPr>
            <w:tcW w:w="1544" w:type="dxa"/>
          </w:tcPr>
          <w:p w14:paraId="36B53055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20,32%</w:t>
            </w:r>
          </w:p>
        </w:tc>
      </w:tr>
      <w:tr w:rsidR="00430B4B" w:rsidRPr="007558D6" w14:paraId="4A943723" w14:textId="77777777" w:rsidTr="00766758">
        <w:trPr>
          <w:trHeight w:val="319"/>
          <w:jc w:val="center"/>
        </w:trPr>
        <w:tc>
          <w:tcPr>
            <w:tcW w:w="2174" w:type="dxa"/>
          </w:tcPr>
          <w:p w14:paraId="447F5FA6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1992</w:t>
            </w:r>
          </w:p>
        </w:tc>
        <w:tc>
          <w:tcPr>
            <w:tcW w:w="1544" w:type="dxa"/>
          </w:tcPr>
          <w:p w14:paraId="65854F8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-16,97%</w:t>
            </w:r>
          </w:p>
        </w:tc>
        <w:tc>
          <w:tcPr>
            <w:tcW w:w="1544" w:type="dxa"/>
          </w:tcPr>
          <w:p w14:paraId="4647C66E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4,17%</w:t>
            </w:r>
          </w:p>
        </w:tc>
      </w:tr>
      <w:tr w:rsidR="00430B4B" w:rsidRPr="007558D6" w14:paraId="6298F6B3" w14:textId="77777777" w:rsidTr="00766758">
        <w:trPr>
          <w:trHeight w:val="319"/>
          <w:jc w:val="center"/>
        </w:trPr>
        <w:tc>
          <w:tcPr>
            <w:tcW w:w="2174" w:type="dxa"/>
          </w:tcPr>
          <w:p w14:paraId="33141700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1993</w:t>
            </w:r>
          </w:p>
        </w:tc>
        <w:tc>
          <w:tcPr>
            <w:tcW w:w="1544" w:type="dxa"/>
          </w:tcPr>
          <w:p w14:paraId="24C33A5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42,59%</w:t>
            </w:r>
          </w:p>
        </w:tc>
        <w:tc>
          <w:tcPr>
            <w:tcW w:w="1544" w:type="dxa"/>
          </w:tcPr>
          <w:p w14:paraId="70A0C455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13,72%</w:t>
            </w:r>
          </w:p>
        </w:tc>
      </w:tr>
      <w:tr w:rsidR="00430B4B" w:rsidRPr="007558D6" w14:paraId="45084CEC" w14:textId="77777777" w:rsidTr="00766758">
        <w:trPr>
          <w:trHeight w:val="319"/>
          <w:jc w:val="center"/>
        </w:trPr>
        <w:tc>
          <w:tcPr>
            <w:tcW w:w="2174" w:type="dxa"/>
          </w:tcPr>
          <w:p w14:paraId="213D1AC1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1994</w:t>
            </w:r>
          </w:p>
        </w:tc>
        <w:tc>
          <w:tcPr>
            <w:tcW w:w="1544" w:type="dxa"/>
          </w:tcPr>
          <w:p w14:paraId="40381CE7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-9,36%</w:t>
            </w:r>
          </w:p>
        </w:tc>
        <w:tc>
          <w:tcPr>
            <w:tcW w:w="1544" w:type="dxa"/>
          </w:tcPr>
          <w:p w14:paraId="43B9AC0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2,14%</w:t>
            </w:r>
          </w:p>
        </w:tc>
      </w:tr>
      <w:tr w:rsidR="00430B4B" w:rsidRPr="007558D6" w14:paraId="1047C751" w14:textId="77777777" w:rsidTr="00766758">
        <w:trPr>
          <w:trHeight w:val="319"/>
          <w:jc w:val="center"/>
        </w:trPr>
        <w:tc>
          <w:tcPr>
            <w:tcW w:w="2174" w:type="dxa"/>
          </w:tcPr>
          <w:p w14:paraId="6A7BDA2A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1995</w:t>
            </w:r>
          </w:p>
        </w:tc>
        <w:tc>
          <w:tcPr>
            <w:tcW w:w="1544" w:type="dxa"/>
          </w:tcPr>
          <w:p w14:paraId="2C6D74B2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5,19%</w:t>
            </w:r>
          </w:p>
        </w:tc>
        <w:tc>
          <w:tcPr>
            <w:tcW w:w="1544" w:type="dxa"/>
          </w:tcPr>
          <w:p w14:paraId="7E2298A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33,45%</w:t>
            </w:r>
          </w:p>
        </w:tc>
      </w:tr>
      <w:tr w:rsidR="00430B4B" w:rsidRPr="007558D6" w14:paraId="6E4656B2" w14:textId="77777777" w:rsidTr="00766758">
        <w:trPr>
          <w:trHeight w:val="319"/>
          <w:jc w:val="center"/>
        </w:trPr>
        <w:tc>
          <w:tcPr>
            <w:tcW w:w="2174" w:type="dxa"/>
          </w:tcPr>
          <w:p w14:paraId="2CB6372F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1996</w:t>
            </w:r>
          </w:p>
        </w:tc>
        <w:tc>
          <w:tcPr>
            <w:tcW w:w="1544" w:type="dxa"/>
          </w:tcPr>
          <w:p w14:paraId="656FC7DC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2,13%</w:t>
            </w:r>
          </w:p>
        </w:tc>
        <w:tc>
          <w:tcPr>
            <w:tcW w:w="1544" w:type="dxa"/>
          </w:tcPr>
          <w:p w14:paraId="0C532F32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26,01%</w:t>
            </w:r>
          </w:p>
        </w:tc>
      </w:tr>
      <w:tr w:rsidR="00430B4B" w:rsidRPr="007558D6" w14:paraId="5F817E68" w14:textId="77777777" w:rsidTr="00766758">
        <w:trPr>
          <w:trHeight w:val="328"/>
          <w:jc w:val="center"/>
        </w:trPr>
        <w:tc>
          <w:tcPr>
            <w:tcW w:w="2174" w:type="dxa"/>
          </w:tcPr>
          <w:p w14:paraId="1B78DA16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1997</w:t>
            </w:r>
          </w:p>
        </w:tc>
        <w:tc>
          <w:tcPr>
            <w:tcW w:w="1544" w:type="dxa"/>
          </w:tcPr>
          <w:p w14:paraId="0653355E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58,51%</w:t>
            </w:r>
          </w:p>
        </w:tc>
        <w:tc>
          <w:tcPr>
            <w:tcW w:w="1544" w:type="dxa"/>
          </w:tcPr>
          <w:p w14:paraId="4133138A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22,64%</w:t>
            </w:r>
          </w:p>
        </w:tc>
      </w:tr>
      <w:tr w:rsidR="00430B4B" w:rsidRPr="007558D6" w14:paraId="35B364FF" w14:textId="77777777" w:rsidTr="00766758">
        <w:trPr>
          <w:trHeight w:val="319"/>
          <w:jc w:val="center"/>
        </w:trPr>
        <w:tc>
          <w:tcPr>
            <w:tcW w:w="2174" w:type="dxa"/>
          </w:tcPr>
          <w:p w14:paraId="05DB3D7E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1998</w:t>
            </w:r>
          </w:p>
        </w:tc>
        <w:tc>
          <w:tcPr>
            <w:tcW w:w="1544" w:type="dxa"/>
          </w:tcPr>
          <w:p w14:paraId="46D2B8D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85,02%</w:t>
            </w:r>
          </w:p>
        </w:tc>
        <w:tc>
          <w:tcPr>
            <w:tcW w:w="1544" w:type="dxa"/>
          </w:tcPr>
          <w:p w14:paraId="1D0A783C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16,10%</w:t>
            </w:r>
          </w:p>
        </w:tc>
      </w:tr>
      <w:tr w:rsidR="00430B4B" w:rsidRPr="007558D6" w14:paraId="0A659161" w14:textId="77777777" w:rsidTr="00766758">
        <w:trPr>
          <w:trHeight w:val="319"/>
          <w:jc w:val="center"/>
        </w:trPr>
        <w:tc>
          <w:tcPr>
            <w:tcW w:w="2174" w:type="dxa"/>
          </w:tcPr>
          <w:p w14:paraId="3E366440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1999</w:t>
            </w:r>
          </w:p>
        </w:tc>
        <w:tc>
          <w:tcPr>
            <w:tcW w:w="1544" w:type="dxa"/>
          </w:tcPr>
          <w:p w14:paraId="47B0CE61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102,19%</w:t>
            </w:r>
          </w:p>
        </w:tc>
        <w:tc>
          <w:tcPr>
            <w:tcW w:w="1544" w:type="dxa"/>
          </w:tcPr>
          <w:p w14:paraId="64EA44FD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25,22%</w:t>
            </w:r>
          </w:p>
        </w:tc>
      </w:tr>
      <w:tr w:rsidR="00430B4B" w:rsidRPr="007558D6" w14:paraId="233BEA84" w14:textId="77777777" w:rsidTr="00766758">
        <w:trPr>
          <w:trHeight w:val="319"/>
          <w:jc w:val="center"/>
        </w:trPr>
        <w:tc>
          <w:tcPr>
            <w:tcW w:w="2174" w:type="dxa"/>
          </w:tcPr>
          <w:p w14:paraId="7586E630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1544" w:type="dxa"/>
          </w:tcPr>
          <w:p w14:paraId="5339C93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-38,77%</w:t>
            </w:r>
          </w:p>
        </w:tc>
        <w:tc>
          <w:tcPr>
            <w:tcW w:w="1544" w:type="dxa"/>
          </w:tcPr>
          <w:p w14:paraId="6AE9B7C5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-6,18%</w:t>
            </w:r>
          </w:p>
        </w:tc>
      </w:tr>
      <w:tr w:rsidR="00430B4B" w:rsidRPr="007558D6" w14:paraId="51BEF658" w14:textId="77777777" w:rsidTr="00766758">
        <w:trPr>
          <w:trHeight w:val="319"/>
          <w:jc w:val="center"/>
        </w:trPr>
        <w:tc>
          <w:tcPr>
            <w:tcW w:w="2174" w:type="dxa"/>
          </w:tcPr>
          <w:p w14:paraId="4CA09DCC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2001</w:t>
            </w:r>
          </w:p>
        </w:tc>
        <w:tc>
          <w:tcPr>
            <w:tcW w:w="1544" w:type="dxa"/>
          </w:tcPr>
          <w:p w14:paraId="48D27EC4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-23,53%</w:t>
            </w:r>
          </w:p>
        </w:tc>
        <w:tc>
          <w:tcPr>
            <w:tcW w:w="1544" w:type="dxa"/>
          </w:tcPr>
          <w:p w14:paraId="4E55EF02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-7,10%</w:t>
            </w:r>
          </w:p>
        </w:tc>
      </w:tr>
      <w:tr w:rsidR="00430B4B" w:rsidRPr="007558D6" w14:paraId="29433836" w14:textId="77777777" w:rsidTr="00766758">
        <w:trPr>
          <w:trHeight w:val="328"/>
          <w:jc w:val="center"/>
        </w:trPr>
        <w:tc>
          <w:tcPr>
            <w:tcW w:w="2174" w:type="dxa"/>
          </w:tcPr>
          <w:p w14:paraId="25FD66E9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2002</w:t>
            </w:r>
          </w:p>
        </w:tc>
        <w:tc>
          <w:tcPr>
            <w:tcW w:w="1544" w:type="dxa"/>
          </w:tcPr>
          <w:p w14:paraId="0561C36D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-32,53%</w:t>
            </w:r>
          </w:p>
        </w:tc>
        <w:tc>
          <w:tcPr>
            <w:tcW w:w="1544" w:type="dxa"/>
          </w:tcPr>
          <w:p w14:paraId="1292EAB7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-16,76%</w:t>
            </w:r>
          </w:p>
        </w:tc>
      </w:tr>
      <w:tr w:rsidR="00430B4B" w:rsidRPr="007558D6" w14:paraId="3486774F" w14:textId="77777777" w:rsidTr="00766758">
        <w:trPr>
          <w:trHeight w:val="319"/>
          <w:jc w:val="center"/>
        </w:trPr>
        <w:tc>
          <w:tcPr>
            <w:tcW w:w="2174" w:type="dxa"/>
          </w:tcPr>
          <w:p w14:paraId="12D03F45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2003</w:t>
            </w:r>
          </w:p>
        </w:tc>
        <w:tc>
          <w:tcPr>
            <w:tcW w:w="1544" w:type="dxa"/>
          </w:tcPr>
          <w:p w14:paraId="5A17F0C3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29,46%</w:t>
            </w:r>
          </w:p>
        </w:tc>
        <w:tc>
          <w:tcPr>
            <w:tcW w:w="1544" w:type="dxa"/>
          </w:tcPr>
          <w:p w14:paraId="637C599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25,32%</w:t>
            </w:r>
          </w:p>
        </w:tc>
      </w:tr>
      <w:tr w:rsidR="00430B4B" w:rsidRPr="007558D6" w14:paraId="42DD7176" w14:textId="77777777" w:rsidTr="00766758">
        <w:trPr>
          <w:trHeight w:val="319"/>
          <w:jc w:val="center"/>
        </w:trPr>
        <w:tc>
          <w:tcPr>
            <w:tcW w:w="2174" w:type="dxa"/>
          </w:tcPr>
          <w:p w14:paraId="259BF009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2004</w:t>
            </w:r>
          </w:p>
        </w:tc>
        <w:tc>
          <w:tcPr>
            <w:tcW w:w="1544" w:type="dxa"/>
          </w:tcPr>
          <w:p w14:paraId="6A54570B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23,09%</w:t>
            </w:r>
          </w:p>
        </w:tc>
        <w:tc>
          <w:tcPr>
            <w:tcW w:w="1544" w:type="dxa"/>
          </w:tcPr>
          <w:p w14:paraId="409C2FAA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3,15%</w:t>
            </w:r>
          </w:p>
        </w:tc>
      </w:tr>
      <w:tr w:rsidR="00430B4B" w:rsidRPr="007558D6" w14:paraId="04169D1E" w14:textId="77777777" w:rsidTr="00766758">
        <w:trPr>
          <w:trHeight w:val="319"/>
          <w:jc w:val="center"/>
        </w:trPr>
        <w:tc>
          <w:tcPr>
            <w:tcW w:w="2174" w:type="dxa"/>
          </w:tcPr>
          <w:p w14:paraId="44569A80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2005</w:t>
            </w:r>
          </w:p>
        </w:tc>
        <w:tc>
          <w:tcPr>
            <w:tcW w:w="1544" w:type="dxa"/>
          </w:tcPr>
          <w:p w14:paraId="49720A26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31,50%</w:t>
            </w:r>
          </w:p>
        </w:tc>
        <w:tc>
          <w:tcPr>
            <w:tcW w:w="1544" w:type="dxa"/>
          </w:tcPr>
          <w:p w14:paraId="36FC31FE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-0,61%</w:t>
            </w:r>
          </w:p>
        </w:tc>
      </w:tr>
      <w:tr w:rsidR="00430B4B" w:rsidRPr="007558D6" w14:paraId="48AE4B13" w14:textId="77777777" w:rsidTr="00766758">
        <w:trPr>
          <w:trHeight w:val="319"/>
          <w:jc w:val="center"/>
        </w:trPr>
        <w:tc>
          <w:tcPr>
            <w:tcW w:w="2174" w:type="dxa"/>
          </w:tcPr>
          <w:p w14:paraId="72963215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2006</w:t>
            </w:r>
          </w:p>
        </w:tc>
        <w:tc>
          <w:tcPr>
            <w:tcW w:w="1544" w:type="dxa"/>
          </w:tcPr>
          <w:p w14:paraId="070C3396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19,93%</w:t>
            </w:r>
          </w:p>
        </w:tc>
        <w:tc>
          <w:tcPr>
            <w:tcW w:w="1544" w:type="dxa"/>
          </w:tcPr>
          <w:p w14:paraId="7A23C0F4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16,29%</w:t>
            </w:r>
          </w:p>
        </w:tc>
      </w:tr>
      <w:tr w:rsidR="00430B4B" w:rsidRPr="007558D6" w14:paraId="6863101B" w14:textId="77777777" w:rsidTr="00766758">
        <w:trPr>
          <w:trHeight w:val="328"/>
          <w:jc w:val="center"/>
        </w:trPr>
        <w:tc>
          <w:tcPr>
            <w:tcW w:w="2174" w:type="dxa"/>
          </w:tcPr>
          <w:p w14:paraId="6182EA3F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2007</w:t>
            </w:r>
          </w:p>
        </w:tc>
        <w:tc>
          <w:tcPr>
            <w:tcW w:w="1544" w:type="dxa"/>
          </w:tcPr>
          <w:p w14:paraId="766164A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17,86%</w:t>
            </w:r>
          </w:p>
        </w:tc>
        <w:tc>
          <w:tcPr>
            <w:tcW w:w="1544" w:type="dxa"/>
          </w:tcPr>
          <w:p w14:paraId="115E43FE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6,43%</w:t>
            </w:r>
          </w:p>
        </w:tc>
      </w:tr>
      <w:tr w:rsidR="00430B4B" w:rsidRPr="007558D6" w14:paraId="43C8EF0D" w14:textId="77777777" w:rsidTr="00766758">
        <w:trPr>
          <w:trHeight w:val="319"/>
          <w:jc w:val="center"/>
        </w:trPr>
        <w:tc>
          <w:tcPr>
            <w:tcW w:w="2174" w:type="dxa"/>
          </w:tcPr>
          <w:p w14:paraId="3B6DDBC9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544" w:type="dxa"/>
            <w:vAlign w:val="bottom"/>
          </w:tcPr>
          <w:p w14:paraId="00959127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  <w:lang w:val="en-US"/>
              </w:rPr>
              <w:t>-65,50%</w:t>
            </w:r>
          </w:p>
        </w:tc>
        <w:tc>
          <w:tcPr>
            <w:tcW w:w="1544" w:type="dxa"/>
            <w:vAlign w:val="bottom"/>
          </w:tcPr>
          <w:p w14:paraId="04EE4490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-35,15%</w:t>
            </w:r>
          </w:p>
        </w:tc>
      </w:tr>
      <w:tr w:rsidR="00430B4B" w:rsidRPr="007558D6" w14:paraId="30AC7316" w14:textId="77777777" w:rsidTr="00766758">
        <w:trPr>
          <w:trHeight w:val="319"/>
          <w:jc w:val="center"/>
        </w:trPr>
        <w:tc>
          <w:tcPr>
            <w:tcW w:w="2174" w:type="dxa"/>
          </w:tcPr>
          <w:p w14:paraId="0E87A78A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2009</w:t>
            </w:r>
          </w:p>
        </w:tc>
        <w:tc>
          <w:tcPr>
            <w:tcW w:w="1544" w:type="dxa"/>
            <w:vAlign w:val="bottom"/>
          </w:tcPr>
          <w:p w14:paraId="05331D3F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  <w:lang w:val="en-US"/>
              </w:rPr>
              <w:t>22,93%</w:t>
            </w:r>
          </w:p>
        </w:tc>
        <w:tc>
          <w:tcPr>
            <w:tcW w:w="1544" w:type="dxa"/>
            <w:vAlign w:val="bottom"/>
          </w:tcPr>
          <w:p w14:paraId="14F5B1A3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21,69%</w:t>
            </w:r>
          </w:p>
        </w:tc>
      </w:tr>
      <w:tr w:rsidR="00430B4B" w:rsidRPr="007558D6" w14:paraId="4118A5C5" w14:textId="77777777" w:rsidTr="00766758">
        <w:trPr>
          <w:trHeight w:val="319"/>
          <w:jc w:val="center"/>
        </w:trPr>
        <w:tc>
          <w:tcPr>
            <w:tcW w:w="2174" w:type="dxa"/>
          </w:tcPr>
          <w:p w14:paraId="62C7E7A9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2010</w:t>
            </w:r>
          </w:p>
        </w:tc>
        <w:tc>
          <w:tcPr>
            <w:tcW w:w="1544" w:type="dxa"/>
            <w:vAlign w:val="bottom"/>
          </w:tcPr>
          <w:p w14:paraId="2A0F21FA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  <w:lang w:val="en-US"/>
              </w:rPr>
              <w:t>-35,62%</w:t>
            </w:r>
          </w:p>
        </w:tc>
        <w:tc>
          <w:tcPr>
            <w:tcW w:w="1544" w:type="dxa"/>
            <w:vAlign w:val="bottom"/>
          </w:tcPr>
          <w:p w14:paraId="219736A9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9,68%</w:t>
            </w:r>
          </w:p>
        </w:tc>
      </w:tr>
      <w:tr w:rsidR="00430B4B" w:rsidRPr="007558D6" w14:paraId="72B2BA2E" w14:textId="77777777" w:rsidTr="00766758">
        <w:trPr>
          <w:trHeight w:val="319"/>
          <w:jc w:val="center"/>
        </w:trPr>
        <w:tc>
          <w:tcPr>
            <w:tcW w:w="2174" w:type="dxa"/>
          </w:tcPr>
          <w:p w14:paraId="699C4F21" w14:textId="77777777" w:rsidR="00430B4B" w:rsidRPr="007558D6" w:rsidRDefault="00430B4B" w:rsidP="00766758">
            <w:pPr>
              <w:jc w:val="center"/>
              <w:rPr>
                <w:b/>
                <w:sz w:val="20"/>
                <w:szCs w:val="20"/>
              </w:rPr>
            </w:pPr>
            <w:r w:rsidRPr="007558D6"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544" w:type="dxa"/>
            <w:vAlign w:val="bottom"/>
          </w:tcPr>
          <w:p w14:paraId="2C9499A7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  <w:lang w:val="en-US"/>
              </w:rPr>
              <w:t>-51,88%</w:t>
            </w:r>
          </w:p>
        </w:tc>
        <w:tc>
          <w:tcPr>
            <w:tcW w:w="1544" w:type="dxa"/>
            <w:vAlign w:val="bottom"/>
          </w:tcPr>
          <w:p w14:paraId="5BD76E63" w14:textId="77777777" w:rsidR="00430B4B" w:rsidRPr="007558D6" w:rsidRDefault="00430B4B" w:rsidP="00766758">
            <w:pPr>
              <w:jc w:val="center"/>
              <w:rPr>
                <w:sz w:val="20"/>
                <w:szCs w:val="20"/>
              </w:rPr>
            </w:pPr>
            <w:r w:rsidRPr="007558D6">
              <w:rPr>
                <w:sz w:val="20"/>
                <w:szCs w:val="20"/>
              </w:rPr>
              <w:t>6,20%</w:t>
            </w:r>
          </w:p>
        </w:tc>
      </w:tr>
      <w:tr w:rsidR="00430B4B" w:rsidRPr="007558D6" w14:paraId="7D153606" w14:textId="77777777" w:rsidTr="00766758">
        <w:trPr>
          <w:trHeight w:val="319"/>
          <w:jc w:val="center"/>
        </w:trPr>
        <w:tc>
          <w:tcPr>
            <w:tcW w:w="2174" w:type="dxa"/>
          </w:tcPr>
          <w:p w14:paraId="4D9D7E55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Μέση Απόδοση</w:t>
            </w:r>
          </w:p>
        </w:tc>
        <w:tc>
          <w:tcPr>
            <w:tcW w:w="1544" w:type="dxa"/>
          </w:tcPr>
          <w:p w14:paraId="2E045407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11,64%</w:t>
            </w:r>
          </w:p>
        </w:tc>
        <w:tc>
          <w:tcPr>
            <w:tcW w:w="1544" w:type="dxa"/>
          </w:tcPr>
          <w:p w14:paraId="77185F84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8,29%</w:t>
            </w:r>
          </w:p>
        </w:tc>
      </w:tr>
      <w:tr w:rsidR="00430B4B" w:rsidRPr="007558D6" w14:paraId="2D593E64" w14:textId="77777777" w:rsidTr="00766758">
        <w:trPr>
          <w:trHeight w:val="328"/>
          <w:jc w:val="center"/>
        </w:trPr>
        <w:tc>
          <w:tcPr>
            <w:tcW w:w="2174" w:type="dxa"/>
          </w:tcPr>
          <w:p w14:paraId="31C673C0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Τυπική Απόκλιση</w:t>
            </w:r>
          </w:p>
        </w:tc>
        <w:tc>
          <w:tcPr>
            <w:tcW w:w="1544" w:type="dxa"/>
          </w:tcPr>
          <w:p w14:paraId="25535210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46,85%</w:t>
            </w:r>
          </w:p>
        </w:tc>
        <w:tc>
          <w:tcPr>
            <w:tcW w:w="1544" w:type="dxa"/>
          </w:tcPr>
          <w:p w14:paraId="087FE3F7" w14:textId="77777777" w:rsidR="00430B4B" w:rsidRPr="007558D6" w:rsidRDefault="00430B4B" w:rsidP="00766758">
            <w:pPr>
              <w:jc w:val="center"/>
              <w:rPr>
                <w:b/>
              </w:rPr>
            </w:pPr>
            <w:r w:rsidRPr="007558D6">
              <w:rPr>
                <w:b/>
              </w:rPr>
              <w:t>16,18%</w:t>
            </w:r>
          </w:p>
        </w:tc>
      </w:tr>
    </w:tbl>
    <w:p w14:paraId="53BB5CFE" w14:textId="77777777" w:rsidR="00430B4B" w:rsidRDefault="00430B4B" w:rsidP="00430B4B">
      <w:pPr>
        <w:jc w:val="center"/>
      </w:pPr>
    </w:p>
    <w:p w14:paraId="55EB4DDF" w14:textId="77777777" w:rsidR="00430B4B" w:rsidRDefault="00430B4B" w:rsidP="00430B4B"/>
    <w:p w14:paraId="3F17366F" w14:textId="77777777" w:rsidR="00430B4B" w:rsidRDefault="00430B4B" w:rsidP="00430B4B"/>
    <w:p w14:paraId="789012AB" w14:textId="77777777" w:rsidR="00AA10EC" w:rsidRDefault="00AA10EC" w:rsidP="00430B4B"/>
    <w:p w14:paraId="4A291BDD" w14:textId="77777777" w:rsidR="00AA10EC" w:rsidRDefault="00AA10EC" w:rsidP="00430B4B"/>
    <w:p w14:paraId="261EBCF0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0442F9E4" w14:textId="77777777" w:rsidR="00430B4B" w:rsidRPr="00AA10EC" w:rsidRDefault="00430B4B" w:rsidP="00430B4B">
      <w:pPr>
        <w:spacing w:line="264" w:lineRule="auto"/>
        <w:ind w:left="-142"/>
        <w:rPr>
          <w:b/>
          <w:u w:val="single"/>
        </w:rPr>
      </w:pPr>
      <w:r w:rsidRPr="00AA10EC">
        <w:rPr>
          <w:b/>
          <w:u w:val="single"/>
        </w:rPr>
        <w:t xml:space="preserve">Θέμα  </w:t>
      </w:r>
      <w:r w:rsidR="00766758" w:rsidRPr="00AA10EC">
        <w:rPr>
          <w:b/>
          <w:u w:val="single"/>
        </w:rPr>
        <w:t>13</w:t>
      </w:r>
    </w:p>
    <w:p w14:paraId="187943DF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7F2D83A5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 xml:space="preserve">Το παρακάτω υπόδειγμα εκτιμήθηκε με τη χρήση τριμηνιαίων παρατηρήσεων με </w:t>
      </w:r>
      <w:r>
        <w:t xml:space="preserve">την </w:t>
      </w:r>
      <w:r w:rsidRPr="00613213">
        <w:t>μέθοδο ελαχίστων τετραγώνων για την περίοδο 1989-2009.</w:t>
      </w:r>
    </w:p>
    <w:p w14:paraId="102055A5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4382426E" w14:textId="77777777" w:rsidR="00430B4B" w:rsidRPr="00613213" w:rsidRDefault="00430B4B" w:rsidP="00430B4B">
      <w:pPr>
        <w:spacing w:line="264" w:lineRule="auto"/>
        <w:ind w:left="-142"/>
        <w:jc w:val="both"/>
        <w:rPr>
          <w:vertAlign w:val="subscript"/>
          <w:lang w:val="pt-BR"/>
        </w:rPr>
      </w:pPr>
      <w:r w:rsidRPr="00613213">
        <w:rPr>
          <w:lang w:val="pt-BR"/>
        </w:rPr>
        <w:t>R</w:t>
      </w:r>
      <w:r w:rsidRPr="00613213">
        <w:rPr>
          <w:vertAlign w:val="subscript"/>
          <w:lang w:val="pt-BR"/>
        </w:rPr>
        <w:t xml:space="preserve">t </w:t>
      </w:r>
      <w:r w:rsidRPr="00613213">
        <w:rPr>
          <w:lang w:val="pt-BR"/>
        </w:rPr>
        <w:t>= 1%  + 0,5 CGNP</w:t>
      </w:r>
      <w:r w:rsidRPr="00613213">
        <w:rPr>
          <w:vertAlign w:val="subscript"/>
          <w:lang w:val="pt-BR"/>
        </w:rPr>
        <w:t>t-1</w:t>
      </w:r>
      <w:r w:rsidRPr="00613213">
        <w:rPr>
          <w:lang w:val="pt-BR"/>
        </w:rPr>
        <w:t xml:space="preserve">   + </w:t>
      </w:r>
      <w:r w:rsidRPr="00613213">
        <w:rPr>
          <w:position w:val="-12"/>
        </w:rPr>
        <w:object w:dxaOrig="240" w:dyaOrig="360" w14:anchorId="31766872">
          <v:shape id="_x0000_i1039" type="#_x0000_t75" style="width:12pt;height:18.65pt" o:ole="">
            <v:imagedata r:id="rId32" o:title=""/>
          </v:shape>
          <o:OLEObject Type="Embed" ProgID="Equation.3" ShapeID="_x0000_i1039" DrawAspect="Content" ObjectID="_1642323873" r:id="rId33"/>
        </w:object>
      </w:r>
      <w:r w:rsidRPr="00613213">
        <w:rPr>
          <w:lang w:val="pt-BR"/>
        </w:rPr>
        <w:t xml:space="preserve">          R</w:t>
      </w:r>
      <w:r w:rsidRPr="00613213">
        <w:rPr>
          <w:vertAlign w:val="superscript"/>
          <w:lang w:val="pt-BR"/>
        </w:rPr>
        <w:t xml:space="preserve">2 </w:t>
      </w:r>
      <w:r w:rsidRPr="00613213">
        <w:rPr>
          <w:lang w:val="pt-BR"/>
        </w:rPr>
        <w:t xml:space="preserve">= 0,10                (3) </w:t>
      </w:r>
    </w:p>
    <w:p w14:paraId="773B453B" w14:textId="77777777" w:rsidR="00430B4B" w:rsidRPr="00613213" w:rsidRDefault="00430B4B" w:rsidP="00430B4B">
      <w:pPr>
        <w:tabs>
          <w:tab w:val="left" w:pos="1965"/>
        </w:tabs>
        <w:spacing w:line="264" w:lineRule="auto"/>
        <w:ind w:left="-142"/>
        <w:jc w:val="both"/>
        <w:rPr>
          <w:lang w:val="pt-BR"/>
        </w:rPr>
      </w:pPr>
      <w:r w:rsidRPr="00613213">
        <w:rPr>
          <w:lang w:val="pt-BR"/>
        </w:rPr>
        <w:t xml:space="preserve">     (0,8)    (0,1)   </w:t>
      </w:r>
    </w:p>
    <w:p w14:paraId="37DBEF61" w14:textId="77777777" w:rsidR="00430B4B" w:rsidRPr="00613213" w:rsidRDefault="00430B4B" w:rsidP="00430B4B">
      <w:pPr>
        <w:spacing w:line="264" w:lineRule="auto"/>
        <w:ind w:left="-142"/>
        <w:jc w:val="both"/>
        <w:rPr>
          <w:lang w:val="pt-BR"/>
        </w:rPr>
      </w:pPr>
    </w:p>
    <w:p w14:paraId="0B7B3B53" w14:textId="77777777" w:rsidR="00430B4B" w:rsidRPr="00613213" w:rsidRDefault="00430B4B" w:rsidP="00430B4B">
      <w:pPr>
        <w:spacing w:line="264" w:lineRule="auto"/>
        <w:ind w:left="-142"/>
        <w:jc w:val="both"/>
        <w:rPr>
          <w:vertAlign w:val="subscript"/>
          <w:lang w:val="pt-BR"/>
        </w:rPr>
      </w:pPr>
      <w:r w:rsidRPr="00613213">
        <w:rPr>
          <w:lang w:val="pt-BR"/>
        </w:rPr>
        <w:t>R</w:t>
      </w:r>
      <w:r w:rsidRPr="00613213">
        <w:rPr>
          <w:vertAlign w:val="subscript"/>
          <w:lang w:val="pt-BR"/>
        </w:rPr>
        <w:t xml:space="preserve">t </w:t>
      </w:r>
      <w:r w:rsidRPr="00613213">
        <w:rPr>
          <w:lang w:val="pt-BR"/>
        </w:rPr>
        <w:t>= 1%  + 0,3 CGNP</w:t>
      </w:r>
      <w:r w:rsidRPr="00613213">
        <w:rPr>
          <w:vertAlign w:val="subscript"/>
          <w:lang w:val="pt-BR"/>
        </w:rPr>
        <w:t>t</w:t>
      </w:r>
      <w:r w:rsidRPr="00613213">
        <w:rPr>
          <w:lang w:val="pt-BR"/>
        </w:rPr>
        <w:t xml:space="preserve">   + </w:t>
      </w:r>
      <w:r w:rsidRPr="00613213">
        <w:rPr>
          <w:position w:val="-12"/>
        </w:rPr>
        <w:object w:dxaOrig="240" w:dyaOrig="360" w14:anchorId="2691A7BF">
          <v:shape id="_x0000_i1040" type="#_x0000_t75" style="width:12pt;height:18.65pt" o:ole="">
            <v:imagedata r:id="rId34" o:title=""/>
          </v:shape>
          <o:OLEObject Type="Embed" ProgID="Equation.3" ShapeID="_x0000_i1040" DrawAspect="Content" ObjectID="_1642323874" r:id="rId35"/>
        </w:object>
      </w:r>
      <w:r w:rsidRPr="00613213">
        <w:rPr>
          <w:lang w:val="pt-BR"/>
        </w:rPr>
        <w:t xml:space="preserve">             R</w:t>
      </w:r>
      <w:r w:rsidRPr="00613213">
        <w:rPr>
          <w:vertAlign w:val="superscript"/>
          <w:lang w:val="pt-BR"/>
        </w:rPr>
        <w:t xml:space="preserve">2 </w:t>
      </w:r>
      <w:r w:rsidRPr="00613213">
        <w:rPr>
          <w:lang w:val="pt-BR"/>
        </w:rPr>
        <w:t>= 0,05               (4)</w:t>
      </w:r>
    </w:p>
    <w:p w14:paraId="119FA5E3" w14:textId="77777777" w:rsidR="00430B4B" w:rsidRPr="00613213" w:rsidRDefault="00430B4B" w:rsidP="00430B4B">
      <w:pPr>
        <w:tabs>
          <w:tab w:val="left" w:pos="1965"/>
        </w:tabs>
        <w:spacing w:line="264" w:lineRule="auto"/>
        <w:ind w:left="-142"/>
        <w:jc w:val="both"/>
        <w:rPr>
          <w:lang w:val="pt-BR"/>
        </w:rPr>
      </w:pPr>
      <w:r w:rsidRPr="00613213">
        <w:rPr>
          <w:lang w:val="pt-BR"/>
        </w:rPr>
        <w:t xml:space="preserve">     (0,8)    (0,3)   </w:t>
      </w:r>
    </w:p>
    <w:p w14:paraId="34ABBAED" w14:textId="77777777" w:rsidR="00430B4B" w:rsidRPr="00766758" w:rsidRDefault="00430B4B" w:rsidP="00430B4B">
      <w:pPr>
        <w:spacing w:line="264" w:lineRule="auto"/>
        <w:ind w:left="-142"/>
        <w:jc w:val="both"/>
        <w:rPr>
          <w:lang w:val="en-US"/>
        </w:rPr>
      </w:pPr>
    </w:p>
    <w:p w14:paraId="3B2ED82F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(εντός των παρενθέσεων δίνονται τα τυπικά σφάλματα)</w:t>
      </w:r>
    </w:p>
    <w:p w14:paraId="0F2864DC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BB200F9" w14:textId="77777777" w:rsidR="00430B4B" w:rsidRPr="00613213" w:rsidRDefault="00430B4B" w:rsidP="00430B4B">
      <w:pPr>
        <w:spacing w:line="264" w:lineRule="auto"/>
        <w:ind w:left="-142"/>
        <w:jc w:val="both"/>
        <w:rPr>
          <w:lang w:val="pt-BR"/>
        </w:rPr>
      </w:pPr>
      <w:r w:rsidRPr="00613213">
        <w:t>Όπου</w:t>
      </w:r>
      <w:r w:rsidRPr="00613213">
        <w:rPr>
          <w:lang w:val="pt-BR"/>
        </w:rPr>
        <w:t xml:space="preserve">: </w:t>
      </w:r>
    </w:p>
    <w:p w14:paraId="16DC1B03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rPr>
          <w:lang w:val="pt-BR"/>
        </w:rPr>
        <w:t>R</w:t>
      </w:r>
      <w:r w:rsidRPr="00613213">
        <w:rPr>
          <w:vertAlign w:val="subscript"/>
          <w:lang w:val="pt-BR"/>
        </w:rPr>
        <w:t>t</w:t>
      </w:r>
      <w:r w:rsidRPr="00613213">
        <w:rPr>
          <w:vertAlign w:val="subscript"/>
        </w:rPr>
        <w:t xml:space="preserve"> </w:t>
      </w:r>
      <w:r w:rsidRPr="00613213">
        <w:t xml:space="preserve">είναι </w:t>
      </w:r>
      <w:r>
        <w:t>οι αποδόσεις του χρηματιστηρίου και</w:t>
      </w:r>
    </w:p>
    <w:p w14:paraId="150511AB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rPr>
          <w:lang w:val="pt-BR"/>
        </w:rPr>
        <w:t>CGNP</w:t>
      </w:r>
      <w:r w:rsidRPr="00613213">
        <w:rPr>
          <w:vertAlign w:val="subscript"/>
          <w:lang w:val="pt-BR"/>
        </w:rPr>
        <w:t>t</w:t>
      </w:r>
      <w:r w:rsidRPr="00613213">
        <w:rPr>
          <w:vertAlign w:val="subscript"/>
        </w:rPr>
        <w:t xml:space="preserve"> </w:t>
      </w:r>
      <w:r w:rsidRPr="00613213">
        <w:t xml:space="preserve"> είναι οι μεταβολές του Ακαθάριστου Εγχώριου Προϊόντος.</w:t>
      </w:r>
    </w:p>
    <w:p w14:paraId="7E837CD9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55985B9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Ζητείται να ερμηνεύσετε εξονυχιστικά όλα τα εμπειρικά αποτελέσματα.</w:t>
      </w:r>
    </w:p>
    <w:p w14:paraId="266BCB79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0699C74" w14:textId="77777777" w:rsidR="00430B4B" w:rsidRDefault="00430B4B" w:rsidP="00430B4B">
      <w:pPr>
        <w:spacing w:line="264" w:lineRule="auto"/>
        <w:ind w:left="-180"/>
        <w:jc w:val="both"/>
        <w:rPr>
          <w:b/>
        </w:rPr>
      </w:pPr>
    </w:p>
    <w:p w14:paraId="3EA3CA29" w14:textId="77777777" w:rsidR="00430B4B" w:rsidRDefault="00430B4B" w:rsidP="00430B4B">
      <w:pPr>
        <w:spacing w:line="264" w:lineRule="auto"/>
        <w:ind w:left="-180"/>
        <w:jc w:val="both"/>
        <w:rPr>
          <w:b/>
        </w:rPr>
      </w:pPr>
    </w:p>
    <w:p w14:paraId="2C8F4D54" w14:textId="77777777" w:rsidR="00AA10EC" w:rsidRDefault="00AA10EC" w:rsidP="00430B4B">
      <w:pPr>
        <w:spacing w:line="264" w:lineRule="auto"/>
        <w:ind w:left="-180"/>
        <w:jc w:val="both"/>
        <w:rPr>
          <w:b/>
        </w:rPr>
      </w:pPr>
    </w:p>
    <w:p w14:paraId="10965F78" w14:textId="77777777" w:rsidR="00AA10EC" w:rsidRDefault="00AA10EC" w:rsidP="00430B4B">
      <w:pPr>
        <w:spacing w:line="264" w:lineRule="auto"/>
        <w:ind w:left="-180"/>
        <w:jc w:val="both"/>
        <w:rPr>
          <w:b/>
        </w:rPr>
      </w:pPr>
    </w:p>
    <w:p w14:paraId="73D92ACC" w14:textId="77777777" w:rsidR="00430B4B" w:rsidRPr="00AA10EC" w:rsidRDefault="00766758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 14</w:t>
      </w:r>
    </w:p>
    <w:p w14:paraId="6D4BDAC1" w14:textId="77777777" w:rsidR="00766758" w:rsidRPr="00613213" w:rsidRDefault="00766758" w:rsidP="00430B4B">
      <w:pPr>
        <w:spacing w:line="264" w:lineRule="auto"/>
        <w:ind w:left="-180"/>
        <w:jc w:val="both"/>
        <w:rPr>
          <w:b/>
        </w:rPr>
      </w:pPr>
    </w:p>
    <w:p w14:paraId="121407B1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Ι) Για τα υποδείγματα του θέματος 2 δίνονται τα παρακάτω στοιχεία:</w:t>
      </w:r>
    </w:p>
    <w:p w14:paraId="2577C23B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rPr>
          <w:position w:val="-12"/>
        </w:rPr>
        <w:object w:dxaOrig="499" w:dyaOrig="380" w14:anchorId="3CDD050E">
          <v:shape id="_x0000_i1041" type="#_x0000_t75" style="width:24.65pt;height:19.35pt" o:ole="">
            <v:imagedata r:id="rId36" o:title=""/>
          </v:shape>
          <o:OLEObject Type="Embed" ProgID="Equation.3" ShapeID="_x0000_i1041" DrawAspect="Content" ObjectID="_1642323875" r:id="rId37"/>
        </w:object>
      </w:r>
      <w:r w:rsidRPr="00613213">
        <w:rPr>
          <w:vertAlign w:val="subscript"/>
        </w:rPr>
        <w:t xml:space="preserve"> </w:t>
      </w:r>
      <w:r w:rsidRPr="00613213">
        <w:t xml:space="preserve">= </w:t>
      </w:r>
      <w:r w:rsidRPr="00E251F2">
        <w:t>9</w:t>
      </w:r>
      <w:r w:rsidRPr="00613213">
        <w:t>0</w:t>
      </w:r>
    </w:p>
    <w:p w14:paraId="7E631C5C" w14:textId="77777777" w:rsidR="00430B4B" w:rsidRPr="00E251F2" w:rsidRDefault="00430B4B" w:rsidP="00430B4B">
      <w:pPr>
        <w:spacing w:line="264" w:lineRule="auto"/>
        <w:ind w:left="-142"/>
        <w:jc w:val="both"/>
      </w:pPr>
      <w:r w:rsidRPr="00613213">
        <w:rPr>
          <w:position w:val="-12"/>
        </w:rPr>
        <w:object w:dxaOrig="499" w:dyaOrig="380" w14:anchorId="0617CC8C">
          <v:shape id="_x0000_i1042" type="#_x0000_t75" style="width:24.65pt;height:19.35pt" o:ole="">
            <v:imagedata r:id="rId38" o:title=""/>
          </v:shape>
          <o:OLEObject Type="Embed" ProgID="Equation.3" ShapeID="_x0000_i1042" DrawAspect="Content" ObjectID="_1642323876" r:id="rId39"/>
        </w:object>
      </w:r>
      <w:r w:rsidRPr="00613213">
        <w:rPr>
          <w:vertAlign w:val="subscript"/>
        </w:rPr>
        <w:t xml:space="preserve"> </w:t>
      </w:r>
      <w:r>
        <w:t xml:space="preserve">= </w:t>
      </w:r>
      <w:r w:rsidRPr="00E251F2">
        <w:t xml:space="preserve"> 95</w:t>
      </w:r>
    </w:p>
    <w:p w14:paraId="3B43E7D7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Σ</w:t>
      </w:r>
      <w:r w:rsidRPr="00613213">
        <w:rPr>
          <w:lang w:val="pt-BR"/>
        </w:rPr>
        <w:t>R</w:t>
      </w:r>
      <w:r w:rsidRPr="00E251F2">
        <w:rPr>
          <w:vertAlign w:val="subscript"/>
          <w:lang w:val="pt-BR"/>
        </w:rPr>
        <w:t>t</w:t>
      </w:r>
      <w:r w:rsidRPr="00613213">
        <w:rPr>
          <w:vertAlign w:val="superscript"/>
        </w:rPr>
        <w:t>2</w:t>
      </w:r>
      <w:r w:rsidRPr="00613213">
        <w:rPr>
          <w:vertAlign w:val="subscript"/>
        </w:rPr>
        <w:t xml:space="preserve">  </w:t>
      </w:r>
      <w:r w:rsidRPr="00613213">
        <w:t>= 100</w:t>
      </w:r>
    </w:p>
    <w:p w14:paraId="3721E4AB" w14:textId="77777777" w:rsidR="00430B4B" w:rsidRPr="00E251F2" w:rsidRDefault="00430B4B" w:rsidP="00430B4B">
      <w:pPr>
        <w:spacing w:line="264" w:lineRule="auto"/>
        <w:ind w:left="-142"/>
        <w:jc w:val="both"/>
      </w:pPr>
    </w:p>
    <w:p w14:paraId="2A4E4B7D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 xml:space="preserve">Όπου </w:t>
      </w:r>
      <w:r>
        <w:t xml:space="preserve">οι δείκτες </w:t>
      </w:r>
      <w:r w:rsidRPr="00613213">
        <w:t>3 και 4 αναφέροντα</w:t>
      </w:r>
      <w:r>
        <w:t>ι</w:t>
      </w:r>
      <w:r w:rsidRPr="00613213">
        <w:t xml:space="preserve"> στα υποδείγματα 3 και 4 </w:t>
      </w:r>
      <w:r>
        <w:t xml:space="preserve">αντίστοιχα </w:t>
      </w:r>
      <w:r w:rsidR="00766758">
        <w:t>του θέματος 13</w:t>
      </w:r>
    </w:p>
    <w:p w14:paraId="18B2CC4F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E54BAA2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 xml:space="preserve">Να υπολογίσετε τα κριτήρια </w:t>
      </w:r>
      <w:r w:rsidRPr="00613213">
        <w:rPr>
          <w:lang w:val="en-US"/>
        </w:rPr>
        <w:t>F</w:t>
      </w:r>
      <w:r w:rsidRPr="00613213">
        <w:t xml:space="preserve"> για τον έλεγχο της στατιστικής σημαντικότητας του υποδείγματος.</w:t>
      </w:r>
    </w:p>
    <w:p w14:paraId="33889AB7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AA42B5C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 xml:space="preserve">ΙΙ)  Στα ίδια υποδείγματα εκτιμήθηκε η σχέση των κατάλοιπων </w:t>
      </w:r>
      <w:r w:rsidRPr="00613213">
        <w:rPr>
          <w:position w:val="-14"/>
        </w:rPr>
        <w:object w:dxaOrig="340" w:dyaOrig="380" w14:anchorId="5A0EBDE5">
          <v:shape id="_x0000_i1043" type="#_x0000_t75" style="width:17.35pt;height:19.35pt" o:ole="">
            <v:imagedata r:id="rId40" o:title=""/>
          </v:shape>
          <o:OLEObject Type="Embed" ProgID="Equation.3" ShapeID="_x0000_i1043" DrawAspect="Content" ObjectID="_1642323877" r:id="rId41"/>
        </w:object>
      </w:r>
      <w:r w:rsidRPr="00613213">
        <w:t xml:space="preserve"> και </w:t>
      </w:r>
      <w:r w:rsidRPr="00613213">
        <w:rPr>
          <w:position w:val="-14"/>
        </w:rPr>
        <w:object w:dxaOrig="360" w:dyaOrig="380" w14:anchorId="0297EC63">
          <v:shape id="_x0000_i1044" type="#_x0000_t75" style="width:18.65pt;height:19.35pt" o:ole="">
            <v:imagedata r:id="rId42" o:title=""/>
          </v:shape>
          <o:OLEObject Type="Embed" ProgID="Equation.3" ShapeID="_x0000_i1044" DrawAspect="Content" ObjectID="_1642323878" r:id="rId43"/>
        </w:object>
      </w:r>
      <w:r w:rsidRPr="00613213">
        <w:t xml:space="preserve">με τις χρονικές υστερήσεις τους </w:t>
      </w:r>
      <w:r w:rsidRPr="00613213">
        <w:rPr>
          <w:position w:val="-12"/>
        </w:rPr>
        <w:object w:dxaOrig="380" w:dyaOrig="360" w14:anchorId="19543E8D">
          <v:shape id="_x0000_i1045" type="#_x0000_t75" style="width:19.35pt;height:18.65pt" o:ole="">
            <v:imagedata r:id="rId44" o:title=""/>
          </v:shape>
          <o:OLEObject Type="Embed" ProgID="Equation.3" ShapeID="_x0000_i1045" DrawAspect="Content" ObjectID="_1642323879" r:id="rId45"/>
        </w:object>
      </w:r>
      <w:r w:rsidRPr="00613213">
        <w:t xml:space="preserve">, </w:t>
      </w:r>
      <w:r w:rsidRPr="00613213">
        <w:rPr>
          <w:position w:val="-12"/>
        </w:rPr>
        <w:object w:dxaOrig="400" w:dyaOrig="360" w14:anchorId="4FF05D9F">
          <v:shape id="_x0000_i1046" type="#_x0000_t75" style="width:20.65pt;height:18.65pt" o:ole="">
            <v:imagedata r:id="rId46" o:title=""/>
          </v:shape>
          <o:OLEObject Type="Embed" ProgID="Equation.3" ShapeID="_x0000_i1046" DrawAspect="Content" ObjectID="_1642323880" r:id="rId47"/>
        </w:object>
      </w:r>
      <w:r w:rsidRPr="00613213">
        <w:t xml:space="preserve">, </w:t>
      </w:r>
      <w:r w:rsidRPr="00613213">
        <w:rPr>
          <w:position w:val="-12"/>
        </w:rPr>
        <w:object w:dxaOrig="400" w:dyaOrig="360" w14:anchorId="534488A8">
          <v:shape id="_x0000_i1047" type="#_x0000_t75" style="width:20.65pt;height:18.65pt" o:ole="">
            <v:imagedata r:id="rId48" o:title=""/>
          </v:shape>
          <o:OLEObject Type="Embed" ProgID="Equation.3" ShapeID="_x0000_i1047" DrawAspect="Content" ObjectID="_1642323881" r:id="rId49"/>
        </w:object>
      </w:r>
      <w:r w:rsidRPr="00613213">
        <w:t>,</w:t>
      </w:r>
      <w:r w:rsidRPr="00613213">
        <w:rPr>
          <w:position w:val="-12"/>
        </w:rPr>
        <w:object w:dxaOrig="400" w:dyaOrig="360" w14:anchorId="073B8474">
          <v:shape id="_x0000_i1048" type="#_x0000_t75" style="width:20.65pt;height:18.65pt" o:ole="">
            <v:imagedata r:id="rId50" o:title=""/>
          </v:shape>
          <o:OLEObject Type="Embed" ProgID="Equation.3" ShapeID="_x0000_i1048" DrawAspect="Content" ObjectID="_1642323882" r:id="rId51"/>
        </w:object>
      </w:r>
      <w:r w:rsidRPr="00613213">
        <w:t>.</w:t>
      </w:r>
    </w:p>
    <w:p w14:paraId="272029D6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17F1C02D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Τα εμπειρικά αποτελέσματα ήταν:</w:t>
      </w:r>
    </w:p>
    <w:p w14:paraId="30663220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5B9DBCCE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rPr>
          <w:position w:val="-14"/>
        </w:rPr>
        <w:object w:dxaOrig="340" w:dyaOrig="380" w14:anchorId="11550D71">
          <v:shape id="_x0000_i1049" type="#_x0000_t75" style="width:17.35pt;height:19.35pt" o:ole="">
            <v:imagedata r:id="rId52" o:title=""/>
          </v:shape>
          <o:OLEObject Type="Embed" ProgID="Equation.3" ShapeID="_x0000_i1049" DrawAspect="Content" ObjectID="_1642323883" r:id="rId53"/>
        </w:object>
      </w:r>
      <w:r w:rsidRPr="00613213">
        <w:t xml:space="preserve">= 0,1 + 0,8 </w:t>
      </w:r>
      <w:r w:rsidRPr="00613213">
        <w:rPr>
          <w:position w:val="-14"/>
        </w:rPr>
        <w:object w:dxaOrig="480" w:dyaOrig="380" w14:anchorId="06F15D7A">
          <v:shape id="_x0000_i1050" type="#_x0000_t75" style="width:24pt;height:19.35pt" o:ole="">
            <v:imagedata r:id="rId54" o:title=""/>
          </v:shape>
          <o:OLEObject Type="Embed" ProgID="Equation.3" ShapeID="_x0000_i1050" DrawAspect="Content" ObjectID="_1642323884" r:id="rId55"/>
        </w:object>
      </w:r>
      <w:r w:rsidRPr="00613213">
        <w:t xml:space="preserve"> + 0,3 </w:t>
      </w:r>
      <w:r w:rsidRPr="00613213">
        <w:rPr>
          <w:position w:val="-14"/>
        </w:rPr>
        <w:object w:dxaOrig="499" w:dyaOrig="380" w14:anchorId="749BD859">
          <v:shape id="_x0000_i1051" type="#_x0000_t75" style="width:24.65pt;height:19.35pt" o:ole="">
            <v:imagedata r:id="rId56" o:title=""/>
          </v:shape>
          <o:OLEObject Type="Embed" ProgID="Equation.3" ShapeID="_x0000_i1051" DrawAspect="Content" ObjectID="_1642323885" r:id="rId57"/>
        </w:object>
      </w:r>
      <w:r w:rsidRPr="00613213">
        <w:t xml:space="preserve"> + 0,2 </w:t>
      </w:r>
      <w:r w:rsidRPr="00613213">
        <w:rPr>
          <w:position w:val="-14"/>
        </w:rPr>
        <w:object w:dxaOrig="499" w:dyaOrig="380" w14:anchorId="19C7D608">
          <v:shape id="_x0000_i1052" type="#_x0000_t75" style="width:24.65pt;height:19.35pt" o:ole="">
            <v:imagedata r:id="rId58" o:title=""/>
          </v:shape>
          <o:OLEObject Type="Embed" ProgID="Equation.3" ShapeID="_x0000_i1052" DrawAspect="Content" ObjectID="_1642323886" r:id="rId59"/>
        </w:object>
      </w:r>
      <w:r w:rsidRPr="00613213">
        <w:t xml:space="preserve"> + 0,01 </w:t>
      </w:r>
      <w:r w:rsidRPr="00613213">
        <w:rPr>
          <w:position w:val="-14"/>
        </w:rPr>
        <w:object w:dxaOrig="499" w:dyaOrig="380" w14:anchorId="226AA296">
          <v:shape id="_x0000_i1053" type="#_x0000_t75" style="width:24.65pt;height:19.35pt" o:ole="">
            <v:imagedata r:id="rId60" o:title=""/>
          </v:shape>
          <o:OLEObject Type="Embed" ProgID="Equation.3" ShapeID="_x0000_i1053" DrawAspect="Content" ObjectID="_1642323887" r:id="rId61"/>
        </w:object>
      </w:r>
      <w:r w:rsidRPr="00613213">
        <w:t xml:space="preserve">     </w:t>
      </w:r>
      <w:r w:rsidRPr="00613213">
        <w:rPr>
          <w:lang w:val="pt-BR"/>
        </w:rPr>
        <w:t>R</w:t>
      </w:r>
      <w:r w:rsidRPr="00613213">
        <w:rPr>
          <w:vertAlign w:val="superscript"/>
        </w:rPr>
        <w:t xml:space="preserve">2 </w:t>
      </w:r>
      <w:r w:rsidRPr="00613213">
        <w:t xml:space="preserve">= 0,20                   </w:t>
      </w:r>
    </w:p>
    <w:p w14:paraId="4D611A1B" w14:textId="77777777" w:rsidR="00430B4B" w:rsidRPr="00613213" w:rsidRDefault="00430B4B" w:rsidP="00430B4B">
      <w:pPr>
        <w:tabs>
          <w:tab w:val="left" w:pos="1965"/>
        </w:tabs>
        <w:spacing w:line="264" w:lineRule="auto"/>
        <w:ind w:left="-142"/>
        <w:jc w:val="both"/>
      </w:pPr>
      <w:r w:rsidRPr="00613213">
        <w:t xml:space="preserve">        (0,3)  (0,6)            (0,2)           (0,2)         (0,2)</w:t>
      </w:r>
    </w:p>
    <w:p w14:paraId="21334D89" w14:textId="77777777" w:rsidR="00430B4B" w:rsidRPr="00613213" w:rsidRDefault="00430B4B" w:rsidP="00430B4B">
      <w:pPr>
        <w:tabs>
          <w:tab w:val="left" w:pos="1965"/>
        </w:tabs>
        <w:spacing w:line="264" w:lineRule="auto"/>
        <w:ind w:left="-142"/>
        <w:jc w:val="both"/>
      </w:pPr>
    </w:p>
    <w:p w14:paraId="48323E6F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rPr>
          <w:position w:val="-14"/>
        </w:rPr>
        <w:object w:dxaOrig="360" w:dyaOrig="380" w14:anchorId="6FEC1860">
          <v:shape id="_x0000_i1054" type="#_x0000_t75" style="width:18.65pt;height:19.35pt" o:ole="">
            <v:imagedata r:id="rId62" o:title=""/>
          </v:shape>
          <o:OLEObject Type="Embed" ProgID="Equation.3" ShapeID="_x0000_i1054" DrawAspect="Content" ObjectID="_1642323888" r:id="rId63"/>
        </w:object>
      </w:r>
      <w:r w:rsidRPr="00613213">
        <w:t xml:space="preserve">= 0,1 + 0,8 </w:t>
      </w:r>
      <w:r w:rsidRPr="00613213">
        <w:rPr>
          <w:position w:val="-14"/>
        </w:rPr>
        <w:object w:dxaOrig="499" w:dyaOrig="380" w14:anchorId="4F700A71">
          <v:shape id="_x0000_i1055" type="#_x0000_t75" style="width:24.65pt;height:19.35pt" o:ole="">
            <v:imagedata r:id="rId64" o:title=""/>
          </v:shape>
          <o:OLEObject Type="Embed" ProgID="Equation.3" ShapeID="_x0000_i1055" DrawAspect="Content" ObjectID="_1642323889" r:id="rId65"/>
        </w:object>
      </w:r>
      <w:r w:rsidRPr="00613213">
        <w:t xml:space="preserve"> + 0,5 </w:t>
      </w:r>
      <w:r w:rsidRPr="00613213">
        <w:rPr>
          <w:position w:val="-14"/>
        </w:rPr>
        <w:object w:dxaOrig="520" w:dyaOrig="380" w14:anchorId="184D7CBA">
          <v:shape id="_x0000_i1056" type="#_x0000_t75" style="width:26.65pt;height:19.35pt" o:ole="">
            <v:imagedata r:id="rId66" o:title=""/>
          </v:shape>
          <o:OLEObject Type="Embed" ProgID="Equation.3" ShapeID="_x0000_i1056" DrawAspect="Content" ObjectID="_1642323890" r:id="rId67"/>
        </w:object>
      </w:r>
      <w:r w:rsidRPr="00613213">
        <w:t xml:space="preserve"> + 0,3 </w:t>
      </w:r>
      <w:r w:rsidRPr="00613213">
        <w:rPr>
          <w:position w:val="-14"/>
        </w:rPr>
        <w:object w:dxaOrig="499" w:dyaOrig="380" w14:anchorId="6FB69FB8">
          <v:shape id="_x0000_i1057" type="#_x0000_t75" style="width:24.65pt;height:19.35pt" o:ole="">
            <v:imagedata r:id="rId68" o:title=""/>
          </v:shape>
          <o:OLEObject Type="Embed" ProgID="Equation.3" ShapeID="_x0000_i1057" DrawAspect="Content" ObjectID="_1642323891" r:id="rId69"/>
        </w:object>
      </w:r>
      <w:r w:rsidRPr="00613213">
        <w:t xml:space="preserve"> + 0,1 </w:t>
      </w:r>
      <w:r w:rsidRPr="00613213">
        <w:rPr>
          <w:position w:val="-14"/>
        </w:rPr>
        <w:object w:dxaOrig="520" w:dyaOrig="380" w14:anchorId="4C1A3FDE">
          <v:shape id="_x0000_i1058" type="#_x0000_t75" style="width:26.65pt;height:19.35pt" o:ole="">
            <v:imagedata r:id="rId70" o:title=""/>
          </v:shape>
          <o:OLEObject Type="Embed" ProgID="Equation.3" ShapeID="_x0000_i1058" DrawAspect="Content" ObjectID="_1642323892" r:id="rId71"/>
        </w:object>
      </w:r>
      <w:r w:rsidRPr="00613213">
        <w:t xml:space="preserve">     </w:t>
      </w:r>
      <w:r w:rsidRPr="00613213">
        <w:rPr>
          <w:lang w:val="pt-BR"/>
        </w:rPr>
        <w:t>R</w:t>
      </w:r>
      <w:r w:rsidRPr="00613213">
        <w:rPr>
          <w:vertAlign w:val="superscript"/>
        </w:rPr>
        <w:t xml:space="preserve">2 </w:t>
      </w:r>
      <w:r>
        <w:t>= 0,3</w:t>
      </w:r>
      <w:r w:rsidRPr="00613213">
        <w:t xml:space="preserve">0                   </w:t>
      </w:r>
    </w:p>
    <w:p w14:paraId="4A9214F8" w14:textId="77777777" w:rsidR="00430B4B" w:rsidRPr="00613213" w:rsidRDefault="00430B4B" w:rsidP="00430B4B">
      <w:pPr>
        <w:tabs>
          <w:tab w:val="left" w:pos="1965"/>
        </w:tabs>
        <w:spacing w:line="264" w:lineRule="auto"/>
        <w:ind w:left="-142"/>
        <w:jc w:val="both"/>
      </w:pPr>
      <w:r w:rsidRPr="00613213">
        <w:t xml:space="preserve">       (0,3)   (0,3)            (0,5)           (0,6)           (0,8)</w:t>
      </w:r>
    </w:p>
    <w:p w14:paraId="613B5678" w14:textId="77777777" w:rsidR="00430B4B" w:rsidRPr="00613213" w:rsidRDefault="00430B4B" w:rsidP="00430B4B">
      <w:pPr>
        <w:spacing w:line="264" w:lineRule="auto"/>
        <w:ind w:left="-142"/>
        <w:jc w:val="both"/>
      </w:pPr>
    </w:p>
    <w:p w14:paraId="3C711468" w14:textId="77777777" w:rsidR="00430B4B" w:rsidRPr="00613213" w:rsidRDefault="00430B4B" w:rsidP="00430B4B">
      <w:pPr>
        <w:spacing w:line="264" w:lineRule="auto"/>
        <w:ind w:left="-142"/>
        <w:jc w:val="both"/>
      </w:pPr>
      <w:r w:rsidRPr="00613213">
        <w:t>(εντός των παρενθέσεων δίνονται τα τυπικά σφάλματα)</w:t>
      </w:r>
    </w:p>
    <w:p w14:paraId="5928B950" w14:textId="77777777" w:rsidR="00430B4B" w:rsidRPr="007F3578" w:rsidRDefault="00430B4B" w:rsidP="00430B4B">
      <w:pPr>
        <w:spacing w:line="264" w:lineRule="auto"/>
        <w:ind w:left="-142"/>
        <w:jc w:val="both"/>
      </w:pPr>
    </w:p>
    <w:p w14:paraId="0A5A229C" w14:textId="77777777" w:rsidR="00430B4B" w:rsidRDefault="00430B4B" w:rsidP="00430B4B">
      <w:r w:rsidRPr="00613213">
        <w:t>Ζητείται να ερμηνεύσετε εξονυχιστικά όλα τα εμπειρικά αποτελέσματα. Εάν ισχύουν τα ευρήματα του συγκεκριμένου θέματος</w:t>
      </w:r>
      <w:r>
        <w:t>, ποιέ</w:t>
      </w:r>
      <w:r w:rsidRPr="00613213">
        <w:t>ς θα ήταν οι επιπτώσεις για την ανάλυση των εμπειρ</w:t>
      </w:r>
      <w:r w:rsidR="00766758">
        <w:t>ικών αποτελεσμάτων του θέματος 13</w:t>
      </w:r>
    </w:p>
    <w:p w14:paraId="3EEE6768" w14:textId="77777777" w:rsidR="00AA10EC" w:rsidRDefault="00AA10EC" w:rsidP="00430B4B"/>
    <w:p w14:paraId="5B01C51D" w14:textId="77777777" w:rsidR="00AA10EC" w:rsidRDefault="00AA10EC" w:rsidP="00430B4B"/>
    <w:p w14:paraId="6DF3DC8C" w14:textId="77777777" w:rsidR="00AA10EC" w:rsidRDefault="00AA10EC" w:rsidP="00430B4B"/>
    <w:p w14:paraId="3F60E018" w14:textId="77777777" w:rsidR="00AA10EC" w:rsidRDefault="00AA10EC" w:rsidP="00430B4B"/>
    <w:p w14:paraId="0281CEAA" w14:textId="77777777" w:rsidR="00430B4B" w:rsidRDefault="00430B4B" w:rsidP="00430B4B"/>
    <w:p w14:paraId="48E21059" w14:textId="77777777" w:rsidR="00430B4B" w:rsidRPr="00AA10EC" w:rsidRDefault="00766758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>Θέμα  15</w:t>
      </w:r>
      <w:r w:rsidR="00430B4B" w:rsidRPr="00AA10EC">
        <w:rPr>
          <w:b/>
          <w:u w:val="single"/>
        </w:rPr>
        <w:t xml:space="preserve"> </w:t>
      </w:r>
    </w:p>
    <w:p w14:paraId="2399EFD7" w14:textId="77777777" w:rsidR="00430B4B" w:rsidRPr="00613213" w:rsidRDefault="00430B4B" w:rsidP="00430B4B">
      <w:pPr>
        <w:spacing w:line="264" w:lineRule="auto"/>
        <w:ind w:left="-180"/>
        <w:jc w:val="both"/>
      </w:pPr>
    </w:p>
    <w:p w14:paraId="6392DCDA" w14:textId="77777777" w:rsidR="00430B4B" w:rsidRPr="00613213" w:rsidRDefault="00430B4B" w:rsidP="00430B4B">
      <w:pPr>
        <w:spacing w:line="264" w:lineRule="auto"/>
        <w:ind w:left="-180"/>
        <w:jc w:val="both"/>
      </w:pPr>
      <w:r w:rsidRPr="00613213">
        <w:t xml:space="preserve">Στον πίνακα 1 παρουσιάζονται οι συσχετίσεις των αποδόσεων των δεικτών </w:t>
      </w:r>
      <w:r w:rsidRPr="00613213">
        <w:rPr>
          <w:lang w:val="en-US"/>
        </w:rPr>
        <w:t>FTSE</w:t>
      </w:r>
      <w:r w:rsidRPr="00613213">
        <w:t xml:space="preserve"> στη Χρηματιστηριακή Αγορά των Αθηνών για την περίοδο </w:t>
      </w:r>
      <w:r w:rsidRPr="00E86FF8">
        <w:t>30/12/2003-31/12/2008</w:t>
      </w:r>
      <w:r w:rsidRPr="00613213">
        <w:t>. Ζητείται</w:t>
      </w:r>
      <w:r>
        <w:t>,</w:t>
      </w:r>
      <w:r w:rsidRPr="00613213">
        <w:t xml:space="preserve"> αφού ορίσετε την έννοια του συντελεστή συσχέτισης κ</w:t>
      </w:r>
      <w:r>
        <w:t>αι τα βασικά χαρακτηριστικά του</w:t>
      </w:r>
      <w:r w:rsidRPr="00613213">
        <w:t xml:space="preserve"> να αξιολογήσετε την χρησιμότητά των πληροφοριών αυτών για τη διαμόρφωση χαρτοφυλακίων από τους επενδυτές, αλλά και από τους διαχειριστές χαρτοφυλακίων. </w:t>
      </w:r>
    </w:p>
    <w:p w14:paraId="142F778E" w14:textId="77777777" w:rsidR="00430B4B" w:rsidRPr="00613213" w:rsidRDefault="00430B4B" w:rsidP="00430B4B">
      <w:pPr>
        <w:spacing w:line="264" w:lineRule="auto"/>
        <w:ind w:left="-180"/>
        <w:jc w:val="center"/>
        <w:rPr>
          <w:b/>
          <w:bCs/>
        </w:rPr>
      </w:pPr>
    </w:p>
    <w:p w14:paraId="7C0A4CB0" w14:textId="77777777" w:rsidR="00430B4B" w:rsidRPr="00613213" w:rsidRDefault="00430B4B" w:rsidP="00430B4B">
      <w:pPr>
        <w:spacing w:line="264" w:lineRule="auto"/>
        <w:ind w:left="-180"/>
        <w:jc w:val="center"/>
        <w:rPr>
          <w:b/>
          <w:bCs/>
        </w:rPr>
      </w:pPr>
      <w:r w:rsidRPr="00613213">
        <w:rPr>
          <w:b/>
          <w:bCs/>
        </w:rPr>
        <w:t>Πίνακας 1</w:t>
      </w:r>
    </w:p>
    <w:p w14:paraId="322CEE6E" w14:textId="77777777" w:rsidR="00430B4B" w:rsidRPr="00613213" w:rsidRDefault="00430B4B" w:rsidP="00430B4B">
      <w:pPr>
        <w:jc w:val="center"/>
        <w:rPr>
          <w:b/>
          <w:bCs/>
        </w:rPr>
      </w:pPr>
      <w:r w:rsidRPr="00613213">
        <w:rPr>
          <w:b/>
          <w:bCs/>
        </w:rPr>
        <w:t xml:space="preserve">Συσχετίσεις αποδόσεων δεικτών </w:t>
      </w:r>
      <w:r w:rsidRPr="00613213">
        <w:rPr>
          <w:b/>
          <w:bCs/>
          <w:lang w:val="en-US"/>
        </w:rPr>
        <w:t>FTSE</w:t>
      </w:r>
      <w:r w:rsidRPr="00613213">
        <w:rPr>
          <w:b/>
          <w:bCs/>
        </w:rPr>
        <w:t xml:space="preserve"> </w:t>
      </w:r>
      <w:r w:rsidRPr="00E86FF8">
        <w:rPr>
          <w:b/>
          <w:bCs/>
        </w:rPr>
        <w:t xml:space="preserve"> </w:t>
      </w:r>
      <w:r w:rsidRPr="00613213">
        <w:rPr>
          <w:b/>
          <w:bCs/>
        </w:rPr>
        <w:t>για την χρονική περίοδο 30/12/2003-31/12/2008</w:t>
      </w:r>
    </w:p>
    <w:tbl>
      <w:tblPr>
        <w:tblW w:w="5885" w:type="dxa"/>
        <w:jc w:val="center"/>
        <w:tblLook w:val="0000" w:firstRow="0" w:lastRow="0" w:firstColumn="0" w:lastColumn="0" w:noHBand="0" w:noVBand="0"/>
      </w:tblPr>
      <w:tblGrid>
        <w:gridCol w:w="1421"/>
        <w:gridCol w:w="1140"/>
        <w:gridCol w:w="1108"/>
        <w:gridCol w:w="1108"/>
        <w:gridCol w:w="1108"/>
      </w:tblGrid>
      <w:tr w:rsidR="00430B4B" w:rsidRPr="00613213" w14:paraId="1695A88D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3BA6C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36725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  <w:lang w:val="en-US"/>
              </w:rPr>
              <w:t>FTASE</w:t>
            </w:r>
            <w:r w:rsidRPr="00E86FF8">
              <w:rPr>
                <w:b/>
                <w:bCs/>
              </w:rPr>
              <w:t xml:space="preserve"> 140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F333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20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6BB2D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40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478A69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80</w:t>
            </w:r>
          </w:p>
        </w:tc>
      </w:tr>
      <w:tr w:rsidR="00430B4B" w:rsidRPr="00613213" w14:paraId="61282009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EADD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  <w:lang w:val="en-US"/>
              </w:rPr>
              <w:t>FTASE</w:t>
            </w:r>
            <w:r w:rsidRPr="00E86FF8">
              <w:rPr>
                <w:b/>
                <w:bCs/>
              </w:rPr>
              <w:t xml:space="preserve"> 140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1D843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29C1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996C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128294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0,80</w:t>
            </w:r>
          </w:p>
        </w:tc>
      </w:tr>
      <w:tr w:rsidR="00430B4B" w:rsidRPr="00613213" w14:paraId="499F3858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1E2EB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B3D31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76940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D9E07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47451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0,72</w:t>
            </w:r>
          </w:p>
        </w:tc>
      </w:tr>
      <w:tr w:rsidR="00430B4B" w:rsidRPr="00613213" w14:paraId="71F504A9" w14:textId="77777777" w:rsidTr="00766758">
        <w:trPr>
          <w:trHeight w:val="239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1579D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B2575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0,91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EA6C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00E2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8CBB2A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0,87</w:t>
            </w:r>
          </w:p>
        </w:tc>
      </w:tr>
      <w:tr w:rsidR="00430B4B" w:rsidRPr="00613213" w14:paraId="1BED82A7" w14:textId="77777777" w:rsidTr="00766758">
        <w:trPr>
          <w:trHeight w:val="90"/>
          <w:jc w:val="center"/>
        </w:trPr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AF65" w14:textId="77777777" w:rsidR="00430B4B" w:rsidRPr="00E86FF8" w:rsidRDefault="00430B4B" w:rsidP="00766758">
            <w:pPr>
              <w:jc w:val="center"/>
              <w:rPr>
                <w:b/>
                <w:bCs/>
              </w:rPr>
            </w:pPr>
            <w:r w:rsidRPr="00E86FF8">
              <w:rPr>
                <w:b/>
                <w:bCs/>
              </w:rPr>
              <w:t>FTASE 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59406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9E52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83E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0,87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BD52B" w14:textId="77777777" w:rsidR="00430B4B" w:rsidRPr="00E86FF8" w:rsidRDefault="00430B4B" w:rsidP="00766758">
            <w:pPr>
              <w:jc w:val="center"/>
              <w:rPr>
                <w:bCs/>
              </w:rPr>
            </w:pPr>
            <w:r w:rsidRPr="00E86FF8">
              <w:rPr>
                <w:bCs/>
              </w:rPr>
              <w:t>1,00</w:t>
            </w:r>
          </w:p>
        </w:tc>
      </w:tr>
    </w:tbl>
    <w:p w14:paraId="01BA04B5" w14:textId="77777777" w:rsidR="00430B4B" w:rsidRDefault="00430B4B" w:rsidP="00430B4B">
      <w:pPr>
        <w:spacing w:line="264" w:lineRule="auto"/>
        <w:ind w:left="-180"/>
        <w:jc w:val="both"/>
      </w:pPr>
    </w:p>
    <w:p w14:paraId="58534488" w14:textId="77777777" w:rsidR="00AA10EC" w:rsidRDefault="00AA10EC" w:rsidP="00430B4B"/>
    <w:p w14:paraId="0D78F8C4" w14:textId="77777777" w:rsidR="00430B4B" w:rsidRDefault="00430B4B" w:rsidP="00430B4B"/>
    <w:p w14:paraId="74EC3C22" w14:textId="77777777" w:rsidR="00430B4B" w:rsidRPr="00AA10EC" w:rsidRDefault="00430B4B" w:rsidP="00430B4B">
      <w:pPr>
        <w:spacing w:line="264" w:lineRule="auto"/>
        <w:ind w:left="-142"/>
        <w:rPr>
          <w:b/>
          <w:u w:val="single"/>
        </w:rPr>
      </w:pPr>
      <w:r w:rsidRPr="00AA10EC">
        <w:rPr>
          <w:b/>
          <w:u w:val="single"/>
        </w:rPr>
        <w:t xml:space="preserve">Θέμα </w:t>
      </w:r>
      <w:r w:rsidR="00766758" w:rsidRPr="00AA10EC">
        <w:rPr>
          <w:b/>
          <w:u w:val="single"/>
        </w:rPr>
        <w:t>16</w:t>
      </w:r>
    </w:p>
    <w:p w14:paraId="25CBE8C0" w14:textId="77777777" w:rsidR="00430B4B" w:rsidRPr="006B385D" w:rsidRDefault="00430B4B" w:rsidP="00430B4B">
      <w:pPr>
        <w:numPr>
          <w:ilvl w:val="0"/>
          <w:numId w:val="1"/>
        </w:numPr>
        <w:spacing w:line="264" w:lineRule="auto"/>
        <w:rPr>
          <w:b/>
        </w:rPr>
      </w:pPr>
      <w:r w:rsidRPr="006B385D">
        <w:t>Ποια είναι η χρησιμότητα και ποιοι οι βασικοί σκοποί της οικονομετρίας;</w:t>
      </w:r>
    </w:p>
    <w:p w14:paraId="1AACE618" w14:textId="77777777" w:rsidR="00430B4B" w:rsidRPr="006B385D" w:rsidRDefault="00430B4B" w:rsidP="00430B4B">
      <w:pPr>
        <w:numPr>
          <w:ilvl w:val="0"/>
          <w:numId w:val="1"/>
        </w:numPr>
        <w:spacing w:line="264" w:lineRule="auto"/>
        <w:rPr>
          <w:b/>
        </w:rPr>
      </w:pPr>
      <w:r w:rsidRPr="006B385D">
        <w:t xml:space="preserve">Να αναφέρετε τις κυριότερες πηγές </w:t>
      </w:r>
      <w:r>
        <w:t>χρηματο</w:t>
      </w:r>
      <w:r w:rsidRPr="006B385D">
        <w:t>οικονομικών δεδομένων στην Ελλάδα.</w:t>
      </w:r>
    </w:p>
    <w:p w14:paraId="7603E01C" w14:textId="77777777" w:rsidR="00430B4B" w:rsidRPr="006B385D" w:rsidRDefault="00430B4B" w:rsidP="00430B4B">
      <w:pPr>
        <w:spacing w:line="264" w:lineRule="auto"/>
        <w:ind w:left="-142"/>
        <w:rPr>
          <w:b/>
        </w:rPr>
      </w:pPr>
      <w:r w:rsidRPr="006B385D">
        <w:t>Γ)   Να κατασκευάσετε πειστικά, χρησιμοποιώντας ένα δικό σας υπόδειγμα, ένα</w:t>
      </w:r>
      <w:r>
        <w:t xml:space="preserve"> χρηματοοικονομικό</w:t>
      </w:r>
      <w:r w:rsidRPr="006B385D">
        <w:t xml:space="preserve"> υπόδειγμα </w:t>
      </w:r>
      <w:r>
        <w:t>σ</w:t>
      </w:r>
      <w:r w:rsidRPr="006B385D">
        <w:t xml:space="preserve">το οποίο να </w:t>
      </w:r>
      <w:r>
        <w:t>περιγράψετε την εξαρτημένη και τις ανεξάρτητες μεταβλητές</w:t>
      </w:r>
      <w:r w:rsidRPr="003E5DB2">
        <w:t xml:space="preserve"> </w:t>
      </w:r>
      <w:r>
        <w:t xml:space="preserve">και τις μεταξύ τους σχέσεις. </w:t>
      </w:r>
    </w:p>
    <w:p w14:paraId="0DB9979F" w14:textId="77777777" w:rsidR="00430B4B" w:rsidRDefault="00430B4B" w:rsidP="00430B4B">
      <w:pPr>
        <w:spacing w:line="264" w:lineRule="auto"/>
        <w:ind w:left="-142"/>
        <w:rPr>
          <w:b/>
        </w:rPr>
      </w:pPr>
    </w:p>
    <w:p w14:paraId="23FA7592" w14:textId="77777777" w:rsidR="00430B4B" w:rsidRPr="00AA10EC" w:rsidRDefault="00430B4B" w:rsidP="00430B4B">
      <w:pPr>
        <w:rPr>
          <w:u w:val="single"/>
        </w:rPr>
      </w:pPr>
    </w:p>
    <w:p w14:paraId="5A7D2E77" w14:textId="77777777" w:rsidR="00430B4B" w:rsidRPr="00AA10EC" w:rsidRDefault="00430B4B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 </w:t>
      </w:r>
      <w:r w:rsidR="00766758" w:rsidRPr="00AA10EC">
        <w:rPr>
          <w:b/>
          <w:u w:val="single"/>
        </w:rPr>
        <w:t>17</w:t>
      </w:r>
    </w:p>
    <w:p w14:paraId="0F6C6F90" w14:textId="77777777" w:rsidR="00430B4B" w:rsidRPr="00D97B4B" w:rsidRDefault="00430B4B" w:rsidP="00430B4B">
      <w:pPr>
        <w:spacing w:line="264" w:lineRule="auto"/>
        <w:ind w:left="-180"/>
        <w:jc w:val="both"/>
      </w:pPr>
      <w:r>
        <w:t>Να σχολιάσετε τα αποτελέσματα του πίνακα 1</w:t>
      </w:r>
      <w:r w:rsidR="00766758">
        <w:t xml:space="preserve"> παρακάτω</w:t>
      </w:r>
      <w:r>
        <w:t>. Στη συνέχεια να προτείνετε ένα ισοσταθμισμένο επιθετικό και ένα  ισοσταθμισμένο αμυντικό χαρτοφυλάκιο τριών μετοχών.</w:t>
      </w:r>
    </w:p>
    <w:p w14:paraId="4E00A31B" w14:textId="77777777" w:rsidR="00430B4B" w:rsidRPr="00D97B4B" w:rsidRDefault="00430B4B" w:rsidP="00430B4B">
      <w:pPr>
        <w:spacing w:line="264" w:lineRule="auto"/>
        <w:ind w:left="-180"/>
        <w:jc w:val="both"/>
      </w:pPr>
    </w:p>
    <w:p w14:paraId="097E1AB4" w14:textId="77777777" w:rsidR="00430B4B" w:rsidRPr="00DC1CBF" w:rsidRDefault="00430B4B" w:rsidP="00430B4B">
      <w:pPr>
        <w:jc w:val="center"/>
        <w:rPr>
          <w:b/>
        </w:rPr>
      </w:pPr>
      <w:r w:rsidRPr="00D97B4B">
        <w:rPr>
          <w:b/>
        </w:rPr>
        <w:t xml:space="preserve">Πίνακας </w:t>
      </w:r>
      <w:r w:rsidRPr="00DC1CBF">
        <w:rPr>
          <w:b/>
        </w:rPr>
        <w:t>1</w:t>
      </w:r>
    </w:p>
    <w:p w14:paraId="45D32157" w14:textId="77777777" w:rsidR="00430B4B" w:rsidRPr="00D97B4B" w:rsidRDefault="00430B4B" w:rsidP="00430B4B">
      <w:pPr>
        <w:jc w:val="center"/>
        <w:rPr>
          <w:b/>
        </w:rPr>
      </w:pPr>
      <w:r w:rsidRPr="00D97B4B">
        <w:rPr>
          <w:b/>
        </w:rPr>
        <w:t xml:space="preserve">Εκτίμηση του κινδύνου των μετοχών </w:t>
      </w:r>
      <w:r w:rsidRPr="00D97B4B">
        <w:rPr>
          <w:b/>
          <w:lang w:val="en-US"/>
        </w:rPr>
        <w:t>FTSE</w:t>
      </w:r>
      <w:r w:rsidRPr="00D97B4B">
        <w:rPr>
          <w:b/>
        </w:rPr>
        <w:t xml:space="preserve"> </w:t>
      </w:r>
      <w:r w:rsidRPr="00D97B4B">
        <w:rPr>
          <w:b/>
          <w:lang w:val="en-US"/>
        </w:rPr>
        <w:t>ATHEX</w:t>
      </w:r>
      <w:r w:rsidRPr="00D97B4B">
        <w:rPr>
          <w:b/>
        </w:rPr>
        <w:t>/20 31/12/2005-31/12/2008</w:t>
      </w:r>
    </w:p>
    <w:p w14:paraId="4FB2D80D" w14:textId="77777777" w:rsidR="00430B4B" w:rsidRDefault="00430B4B" w:rsidP="00430B4B">
      <w:pPr>
        <w:jc w:val="center"/>
        <w:rPr>
          <w:lang w:val="en-US"/>
        </w:rPr>
      </w:pPr>
      <w:r w:rsidRPr="00D97B4B">
        <w:rPr>
          <w:noProof/>
        </w:rPr>
        <w:drawing>
          <wp:inline distT="0" distB="0" distL="0" distR="0" wp14:anchorId="26110263" wp14:editId="75956887">
            <wp:extent cx="5934075" cy="3924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75593" w14:textId="77777777" w:rsidR="00AA10EC" w:rsidRPr="00AA10EC" w:rsidRDefault="00430B4B" w:rsidP="00AA10EC">
      <w:r w:rsidRPr="00D97B4B">
        <w:t>*Από την ημε</w:t>
      </w:r>
      <w:r>
        <w:t>ρομηνία εισαγωγής στο ΧΑ</w:t>
      </w:r>
    </w:p>
    <w:p w14:paraId="693A9CA0" w14:textId="77777777" w:rsidR="00AA10EC" w:rsidRDefault="00AA10EC" w:rsidP="00430B4B">
      <w:pPr>
        <w:spacing w:line="264" w:lineRule="auto"/>
        <w:ind w:left="-180"/>
        <w:jc w:val="both"/>
        <w:rPr>
          <w:b/>
        </w:rPr>
      </w:pPr>
    </w:p>
    <w:p w14:paraId="0897971F" w14:textId="77777777" w:rsidR="00430B4B" w:rsidRDefault="00430B4B" w:rsidP="00430B4B"/>
    <w:p w14:paraId="3A8D3071" w14:textId="77777777" w:rsidR="00430B4B" w:rsidRPr="00AA10EC" w:rsidRDefault="00430B4B" w:rsidP="00430B4B">
      <w:pPr>
        <w:spacing w:line="264" w:lineRule="auto"/>
        <w:ind w:left="-180"/>
        <w:jc w:val="both"/>
        <w:rPr>
          <w:b/>
          <w:u w:val="single"/>
        </w:rPr>
      </w:pPr>
      <w:r w:rsidRPr="00AA10EC">
        <w:rPr>
          <w:b/>
          <w:u w:val="single"/>
        </w:rPr>
        <w:t xml:space="preserve">Θέμα  </w:t>
      </w:r>
      <w:r w:rsidR="00766758" w:rsidRPr="00AA10EC">
        <w:rPr>
          <w:b/>
          <w:u w:val="single"/>
        </w:rPr>
        <w:t>18</w:t>
      </w:r>
      <w:r w:rsidRPr="00AA10EC">
        <w:rPr>
          <w:b/>
          <w:u w:val="single"/>
        </w:rPr>
        <w:t xml:space="preserve"> </w:t>
      </w:r>
    </w:p>
    <w:p w14:paraId="55883105" w14:textId="77777777" w:rsidR="00430B4B" w:rsidRDefault="00430B4B" w:rsidP="00430B4B">
      <w:pPr>
        <w:spacing w:line="264" w:lineRule="auto"/>
        <w:ind w:left="-180"/>
        <w:jc w:val="both"/>
      </w:pPr>
      <w:r w:rsidRPr="00D96C1B">
        <w:t>Στα</w:t>
      </w:r>
      <w:r>
        <w:t xml:space="preserve"> διαγράμματα 1-6 παρουσιάζονται οι αποδόσεις 6 διαφορετικών μετοχών. Να χαρακτηρίσετε τις μετοχές με τη βοήθεια των διαγραμμάτων.</w:t>
      </w:r>
    </w:p>
    <w:p w14:paraId="64CD8214" w14:textId="77777777" w:rsidR="00430B4B" w:rsidRPr="00D96C1B" w:rsidRDefault="00430B4B" w:rsidP="00430B4B">
      <w:pPr>
        <w:spacing w:line="264" w:lineRule="auto"/>
        <w:ind w:left="-180"/>
        <w:jc w:val="both"/>
      </w:pPr>
      <w:r>
        <w:t xml:space="preserve">  </w:t>
      </w:r>
    </w:p>
    <w:p w14:paraId="3B041D5F" w14:textId="77777777" w:rsidR="00430B4B" w:rsidRPr="00D96C1B" w:rsidRDefault="001738EF" w:rsidP="00430B4B">
      <w:pPr>
        <w:spacing w:line="264" w:lineRule="auto"/>
        <w:ind w:left="-851"/>
        <w:jc w:val="center"/>
      </w:pPr>
      <w:r>
        <w:rPr>
          <w:noProof/>
        </w:rPr>
        <w:object w:dxaOrig="1440" w:dyaOrig="1440" w14:anchorId="7FD7F7B4">
          <v:shape id="_x0000_s1027" type="#_x0000_t75" style="position:absolute;left:0;text-align:left;margin-left:229.8pt;margin-top:16.45pt;width:301.2pt;height:218.25pt;z-index:251655168">
            <v:imagedata r:id="rId73" o:title=""/>
            <w10:wrap type="square"/>
          </v:shape>
          <o:OLEObject Type="Embed" ProgID="PowerPoint.Slide.12" ShapeID="_x0000_s1027" DrawAspect="Content" ObjectID="_1642323893" r:id="rId74"/>
        </w:object>
      </w:r>
      <w:r>
        <w:rPr>
          <w:noProof/>
        </w:rPr>
        <w:object w:dxaOrig="1440" w:dyaOrig="1440" w14:anchorId="1B46AD8D">
          <v:shape id="_x0000_s1026" type="#_x0000_t75" style="position:absolute;left:0;text-align:left;margin-left:-57.05pt;margin-top:25.1pt;width:283.5pt;height:213pt;z-index:251656192">
            <v:imagedata r:id="rId75" o:title=""/>
            <w10:wrap type="square"/>
          </v:shape>
          <o:OLEObject Type="Embed" ProgID="PowerPoint.Slide.12" ShapeID="_x0000_s1026" DrawAspect="Content" ObjectID="_1642323894" r:id="rId76"/>
        </w:object>
      </w:r>
      <w:r w:rsidR="00430B4B" w:rsidRPr="00D96C1B">
        <w:t>Διάγραμμα 1                                                                                   Διάγραμμα 2</w:t>
      </w:r>
    </w:p>
    <w:p w14:paraId="27E792C4" w14:textId="77777777" w:rsidR="00430B4B" w:rsidRDefault="00430B4B" w:rsidP="00430B4B">
      <w:pPr>
        <w:spacing w:line="264" w:lineRule="auto"/>
      </w:pPr>
    </w:p>
    <w:p w14:paraId="79F62717" w14:textId="77777777" w:rsidR="00430B4B" w:rsidRPr="00D96C1B" w:rsidRDefault="001738EF" w:rsidP="00430B4B">
      <w:pPr>
        <w:spacing w:line="264" w:lineRule="auto"/>
      </w:pPr>
      <w:r>
        <w:rPr>
          <w:noProof/>
        </w:rPr>
        <w:object w:dxaOrig="1440" w:dyaOrig="1440" w14:anchorId="017CC920">
          <v:shape id="_x0000_s1030" type="#_x0000_t75" style="position:absolute;margin-left:232.3pt;margin-top:19.85pt;width:300pt;height:206.9pt;z-index:251657216">
            <v:imagedata r:id="rId77" o:title="" cropbottom="3194f"/>
            <w10:wrap type="square"/>
          </v:shape>
          <o:OLEObject Type="Embed" ProgID="PowerPoint.Slide.12" ShapeID="_x0000_s1030" DrawAspect="Content" ObjectID="_1642323895" r:id="rId78"/>
        </w:object>
      </w:r>
      <w:r>
        <w:rPr>
          <w:noProof/>
        </w:rPr>
        <w:object w:dxaOrig="1440" w:dyaOrig="1440" w14:anchorId="2B3C8E5E">
          <v:shape id="_x0000_s1028" type="#_x0000_t75" style="position:absolute;margin-left:-57.05pt;margin-top:23.9pt;width:290.25pt;height:211.85pt;z-index:251658240">
            <v:imagedata r:id="rId79" o:title="" cropbottom="1702f"/>
            <w10:wrap type="square"/>
          </v:shape>
          <o:OLEObject Type="Embed" ProgID="PowerPoint.Slide.12" ShapeID="_x0000_s1028" DrawAspect="Content" ObjectID="_1642323896" r:id="rId80"/>
        </w:object>
      </w:r>
      <w:r w:rsidR="00430B4B">
        <w:t xml:space="preserve">                          </w:t>
      </w:r>
      <w:r w:rsidR="00430B4B" w:rsidRPr="00D96C1B">
        <w:t>Διάγραμμα</w:t>
      </w:r>
      <w:r w:rsidR="00430B4B">
        <w:t xml:space="preserve"> 3</w:t>
      </w:r>
      <w:r w:rsidR="00430B4B" w:rsidRPr="00D96C1B">
        <w:t xml:space="preserve">          </w:t>
      </w:r>
      <w:r w:rsidR="00430B4B">
        <w:t xml:space="preserve">                                                               Διάγραμμα </w:t>
      </w:r>
      <w:r w:rsidR="00430B4B" w:rsidRPr="00D96C1B">
        <w:t>4</w:t>
      </w:r>
    </w:p>
    <w:p w14:paraId="73469EE7" w14:textId="77777777" w:rsidR="00430B4B" w:rsidRDefault="00430B4B" w:rsidP="00430B4B">
      <w:pPr>
        <w:spacing w:line="264" w:lineRule="auto"/>
        <w:ind w:left="-851"/>
        <w:jc w:val="center"/>
      </w:pPr>
    </w:p>
    <w:p w14:paraId="774B065D" w14:textId="77777777" w:rsidR="00430B4B" w:rsidRPr="00D96C1B" w:rsidRDefault="001738EF" w:rsidP="00430B4B">
      <w:pPr>
        <w:spacing w:line="264" w:lineRule="auto"/>
        <w:ind w:left="-851"/>
      </w:pPr>
      <w:r>
        <w:rPr>
          <w:noProof/>
        </w:rPr>
        <w:object w:dxaOrig="1440" w:dyaOrig="1440" w14:anchorId="4D2E7966">
          <v:shape id="_x0000_s1031" type="#_x0000_t75" style="position:absolute;left:0;text-align:left;margin-left:243.25pt;margin-top:24.15pt;width:251.75pt;height:176.35pt;z-index:251659264">
            <v:imagedata r:id="rId81" o:title="" cropbottom="7211f" cropright="4374f"/>
            <w10:wrap type="square"/>
          </v:shape>
          <o:OLEObject Type="Embed" ProgID="PowerPoint.Slide.12" ShapeID="_x0000_s1031" DrawAspect="Content" ObjectID="_1642323897" r:id="rId82"/>
        </w:object>
      </w:r>
      <w:r>
        <w:rPr>
          <w:noProof/>
        </w:rPr>
        <w:object w:dxaOrig="1440" w:dyaOrig="1440" w14:anchorId="0AF42DD0">
          <v:shape id="_x0000_s1029" type="#_x0000_t75" style="position:absolute;left:0;text-align:left;margin-left:-52.5pt;margin-top:15.15pt;width:285.7pt;height:185.35pt;z-index:251660288">
            <v:imagedata r:id="rId83" o:title="" cropbottom="8346f"/>
            <w10:wrap type="square"/>
          </v:shape>
          <o:OLEObject Type="Embed" ProgID="PowerPoint.Slide.12" ShapeID="_x0000_s1029" DrawAspect="Content" ObjectID="_1642323898" r:id="rId84"/>
        </w:object>
      </w:r>
      <w:r w:rsidR="00430B4B">
        <w:t xml:space="preserve">                                       </w:t>
      </w:r>
      <w:r w:rsidR="00430B4B" w:rsidRPr="00D96C1B">
        <w:t xml:space="preserve">Διάγραμμα 5                                                           </w:t>
      </w:r>
      <w:r w:rsidR="00430B4B">
        <w:t xml:space="preserve">             </w:t>
      </w:r>
      <w:r w:rsidR="00430B4B" w:rsidRPr="00D96C1B">
        <w:t xml:space="preserve">Διάγραμμα </w:t>
      </w:r>
      <w:r w:rsidR="00430B4B">
        <w:t>6</w:t>
      </w:r>
    </w:p>
    <w:p w14:paraId="14402722" w14:textId="77777777" w:rsidR="00430B4B" w:rsidRDefault="00430B4B" w:rsidP="00430B4B"/>
    <w:p w14:paraId="7C29F4E0" w14:textId="77777777" w:rsidR="00430B4B" w:rsidRDefault="00430B4B" w:rsidP="00430B4B"/>
    <w:p w14:paraId="70A4380C" w14:textId="77777777" w:rsidR="00766758" w:rsidRDefault="00766758" w:rsidP="00430B4B">
      <w:pPr>
        <w:spacing w:line="264" w:lineRule="auto"/>
        <w:ind w:left="-142"/>
        <w:rPr>
          <w:b/>
        </w:rPr>
      </w:pPr>
    </w:p>
    <w:p w14:paraId="67071C2B" w14:textId="77777777" w:rsidR="00766758" w:rsidRDefault="00766758" w:rsidP="00430B4B">
      <w:pPr>
        <w:spacing w:line="264" w:lineRule="auto"/>
        <w:ind w:left="-142"/>
        <w:rPr>
          <w:b/>
        </w:rPr>
      </w:pPr>
    </w:p>
    <w:p w14:paraId="16D0888C" w14:textId="77777777" w:rsidR="00766758" w:rsidRDefault="00766758" w:rsidP="00430B4B">
      <w:pPr>
        <w:spacing w:line="264" w:lineRule="auto"/>
        <w:ind w:left="-142"/>
        <w:rPr>
          <w:b/>
        </w:rPr>
      </w:pPr>
    </w:p>
    <w:p w14:paraId="59131E0D" w14:textId="77777777" w:rsidR="00766758" w:rsidRDefault="00766758" w:rsidP="00430B4B">
      <w:pPr>
        <w:spacing w:line="264" w:lineRule="auto"/>
        <w:ind w:left="-142"/>
        <w:rPr>
          <w:b/>
        </w:rPr>
      </w:pPr>
    </w:p>
    <w:p w14:paraId="4D74C598" w14:textId="77777777" w:rsidR="00766758" w:rsidRDefault="00766758" w:rsidP="00430B4B">
      <w:pPr>
        <w:spacing w:line="264" w:lineRule="auto"/>
        <w:ind w:left="-142"/>
        <w:rPr>
          <w:b/>
        </w:rPr>
      </w:pPr>
    </w:p>
    <w:p w14:paraId="13CD2F23" w14:textId="77777777" w:rsidR="00430B4B" w:rsidRPr="00AA10EC" w:rsidRDefault="00766758" w:rsidP="00430B4B">
      <w:pPr>
        <w:spacing w:line="264" w:lineRule="auto"/>
        <w:ind w:left="-142"/>
        <w:rPr>
          <w:b/>
          <w:u w:val="single"/>
        </w:rPr>
      </w:pPr>
      <w:r w:rsidRPr="00AA10EC">
        <w:rPr>
          <w:b/>
          <w:u w:val="single"/>
        </w:rPr>
        <w:t>Θέμα  19</w:t>
      </w:r>
    </w:p>
    <w:p w14:paraId="4196202A" w14:textId="77777777" w:rsidR="00430B4B" w:rsidRDefault="00430B4B" w:rsidP="00430B4B">
      <w:pPr>
        <w:spacing w:line="264" w:lineRule="auto"/>
        <w:ind w:left="-142"/>
      </w:pPr>
      <w:r w:rsidRPr="006B385D">
        <w:t xml:space="preserve">   Να κατασκευάσετε πειστικά, χρησιμοποιώντας ένα δικό σας </w:t>
      </w:r>
      <w:r>
        <w:t>παράδειγμα ,</w:t>
      </w:r>
      <w:r w:rsidRPr="006B385D">
        <w:t xml:space="preserve"> ένα</w:t>
      </w:r>
      <w:r>
        <w:t xml:space="preserve"> χρηματοοικονομικό</w:t>
      </w:r>
      <w:r w:rsidRPr="006B385D">
        <w:t xml:space="preserve"> υπόδειγμα </w:t>
      </w:r>
      <w:r>
        <w:t>σ</w:t>
      </w:r>
      <w:r w:rsidRPr="006B385D">
        <w:t xml:space="preserve">το οποίο να </w:t>
      </w:r>
      <w:r>
        <w:t>περιγράψετε την εξαρτημένη και τις ανεξάρτητες μεταβλητές</w:t>
      </w:r>
      <w:r w:rsidRPr="003E5DB2">
        <w:t xml:space="preserve"> </w:t>
      </w:r>
      <w:r>
        <w:t xml:space="preserve">και τις μεταξύ τους σχέσεις. </w:t>
      </w:r>
    </w:p>
    <w:p w14:paraId="375CCBEB" w14:textId="77777777" w:rsidR="00766758" w:rsidRDefault="00766758" w:rsidP="00430B4B">
      <w:pPr>
        <w:spacing w:line="264" w:lineRule="auto"/>
        <w:ind w:left="-142"/>
      </w:pPr>
    </w:p>
    <w:p w14:paraId="7E07B5FB" w14:textId="77777777" w:rsidR="00766758" w:rsidRDefault="00766758" w:rsidP="00430B4B">
      <w:pPr>
        <w:spacing w:line="264" w:lineRule="auto"/>
        <w:ind w:left="-142"/>
      </w:pPr>
    </w:p>
    <w:p w14:paraId="08DD668F" w14:textId="77777777" w:rsidR="00766758" w:rsidRPr="006B385D" w:rsidRDefault="00766758" w:rsidP="00430B4B">
      <w:pPr>
        <w:spacing w:line="264" w:lineRule="auto"/>
        <w:ind w:left="-142"/>
        <w:rPr>
          <w:b/>
        </w:rPr>
      </w:pPr>
    </w:p>
    <w:p w14:paraId="30B41F8B" w14:textId="77777777" w:rsidR="00430B4B" w:rsidRDefault="00430B4B" w:rsidP="00430B4B">
      <w:pPr>
        <w:spacing w:line="264" w:lineRule="auto"/>
        <w:ind w:left="-142"/>
        <w:rPr>
          <w:b/>
        </w:rPr>
      </w:pPr>
    </w:p>
    <w:p w14:paraId="092AD5B1" w14:textId="77777777" w:rsidR="00430B4B" w:rsidRPr="00AA10EC" w:rsidRDefault="00766758" w:rsidP="00430B4B">
      <w:pPr>
        <w:rPr>
          <w:b/>
          <w:u w:val="single"/>
        </w:rPr>
      </w:pPr>
      <w:r w:rsidRPr="00AA10EC">
        <w:rPr>
          <w:b/>
          <w:u w:val="single"/>
        </w:rPr>
        <w:t>Θέμα 20</w:t>
      </w:r>
    </w:p>
    <w:p w14:paraId="4B5491A3" w14:textId="77777777" w:rsidR="00766758" w:rsidRDefault="00766758" w:rsidP="00430B4B"/>
    <w:p w14:paraId="0663E5BF" w14:textId="77777777" w:rsidR="00430B4B" w:rsidRPr="00CC73E0" w:rsidRDefault="00430B4B" w:rsidP="00430B4B">
      <w:pPr>
        <w:spacing w:line="264" w:lineRule="auto"/>
        <w:ind w:left="-180"/>
        <w:jc w:val="both"/>
        <w:rPr>
          <w:rFonts w:eastAsia="Calibri"/>
          <w:lang w:eastAsia="en-US"/>
        </w:rPr>
      </w:pPr>
      <w:r w:rsidRPr="00CC73E0">
        <w:rPr>
          <w:rFonts w:eastAsia="Calibri"/>
          <w:lang w:eastAsia="en-US"/>
        </w:rPr>
        <w:t>Στον πίνακα 1 παρουσιάζο</w:t>
      </w:r>
      <w:r>
        <w:rPr>
          <w:rFonts w:eastAsia="Calibri"/>
          <w:lang w:eastAsia="en-US"/>
        </w:rPr>
        <w:t>νται οι μέσες ετήσιες αποδόσεις και</w:t>
      </w:r>
      <w:r w:rsidRPr="00CC73E0">
        <w:rPr>
          <w:rFonts w:eastAsia="Calibri"/>
          <w:lang w:eastAsia="en-US"/>
        </w:rPr>
        <w:t xml:space="preserve"> οι κίνδυνοι (τυπικές αποκλίσεις) για τρεις χρηματιστηριακές αγορές για την περίοδο 1990-2010. </w:t>
      </w:r>
    </w:p>
    <w:p w14:paraId="41718776" w14:textId="77777777" w:rsidR="00430B4B" w:rsidRPr="00C01961" w:rsidRDefault="00430B4B" w:rsidP="00430B4B">
      <w:pPr>
        <w:spacing w:line="264" w:lineRule="auto"/>
        <w:ind w:left="-180"/>
        <w:jc w:val="center"/>
        <w:rPr>
          <w:rFonts w:eastAsia="Calibri"/>
          <w:b/>
          <w:sz w:val="22"/>
          <w:szCs w:val="22"/>
          <w:lang w:eastAsia="en-US"/>
        </w:rPr>
      </w:pPr>
    </w:p>
    <w:p w14:paraId="3B6680C0" w14:textId="77777777" w:rsidR="00430B4B" w:rsidRPr="00CC73E0" w:rsidRDefault="00430B4B" w:rsidP="00430B4B">
      <w:pPr>
        <w:spacing w:line="264" w:lineRule="auto"/>
        <w:ind w:left="-180"/>
        <w:jc w:val="center"/>
        <w:rPr>
          <w:rFonts w:eastAsia="Calibri"/>
          <w:b/>
          <w:lang w:eastAsia="en-US"/>
        </w:rPr>
      </w:pPr>
      <w:r w:rsidRPr="00CC73E0">
        <w:rPr>
          <w:rFonts w:eastAsia="Calibri"/>
          <w:b/>
          <w:lang w:eastAsia="en-US"/>
        </w:rPr>
        <w:t>Πίνακας 1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2611"/>
        <w:gridCol w:w="1678"/>
        <w:gridCol w:w="2006"/>
        <w:gridCol w:w="2001"/>
      </w:tblGrid>
      <w:tr w:rsidR="00430B4B" w:rsidRPr="00CC73E0" w14:paraId="7CC4601C" w14:textId="77777777" w:rsidTr="00766758">
        <w:trPr>
          <w:jc w:val="center"/>
        </w:trPr>
        <w:tc>
          <w:tcPr>
            <w:tcW w:w="2754" w:type="dxa"/>
          </w:tcPr>
          <w:p w14:paraId="66661925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762" w:type="dxa"/>
          </w:tcPr>
          <w:p w14:paraId="75DF80A5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</w:rPr>
            </w:pPr>
            <w:r w:rsidRPr="00CC73E0">
              <w:rPr>
                <w:b/>
              </w:rPr>
              <w:t>ΓΔΧΑ</w:t>
            </w:r>
          </w:p>
        </w:tc>
        <w:tc>
          <w:tcPr>
            <w:tcW w:w="2132" w:type="dxa"/>
          </w:tcPr>
          <w:p w14:paraId="1A5742D7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  <w:lang w:val="en-US"/>
              </w:rPr>
            </w:pPr>
            <w:r w:rsidRPr="00CC73E0">
              <w:rPr>
                <w:b/>
                <w:lang w:val="en-US"/>
              </w:rPr>
              <w:t>Dow Jones</w:t>
            </w:r>
          </w:p>
        </w:tc>
        <w:tc>
          <w:tcPr>
            <w:tcW w:w="2132" w:type="dxa"/>
          </w:tcPr>
          <w:p w14:paraId="20ABE030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</w:rPr>
            </w:pPr>
            <w:r w:rsidRPr="00CC73E0">
              <w:rPr>
                <w:b/>
                <w:lang w:val="en-US"/>
              </w:rPr>
              <w:t>DAX 30</w:t>
            </w:r>
          </w:p>
        </w:tc>
      </w:tr>
      <w:tr w:rsidR="00430B4B" w:rsidRPr="00CC73E0" w14:paraId="6F04C8E0" w14:textId="77777777" w:rsidTr="00766758">
        <w:trPr>
          <w:jc w:val="center"/>
        </w:trPr>
        <w:tc>
          <w:tcPr>
            <w:tcW w:w="2754" w:type="dxa"/>
          </w:tcPr>
          <w:p w14:paraId="14A807BD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</w:rPr>
            </w:pPr>
            <w:r w:rsidRPr="00CC73E0">
              <w:rPr>
                <w:b/>
              </w:rPr>
              <w:t>Μέση Απόδοση (%)</w:t>
            </w:r>
          </w:p>
        </w:tc>
        <w:tc>
          <w:tcPr>
            <w:tcW w:w="1762" w:type="dxa"/>
          </w:tcPr>
          <w:p w14:paraId="0D3D90FD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20%</w:t>
            </w:r>
          </w:p>
        </w:tc>
        <w:tc>
          <w:tcPr>
            <w:tcW w:w="2132" w:type="dxa"/>
          </w:tcPr>
          <w:p w14:paraId="0DEFFDA6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10%</w:t>
            </w:r>
          </w:p>
        </w:tc>
        <w:tc>
          <w:tcPr>
            <w:tcW w:w="2132" w:type="dxa"/>
          </w:tcPr>
          <w:p w14:paraId="4AE28493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12%</w:t>
            </w:r>
          </w:p>
        </w:tc>
      </w:tr>
      <w:tr w:rsidR="00430B4B" w:rsidRPr="00CC73E0" w14:paraId="38F6180B" w14:textId="77777777" w:rsidTr="00766758">
        <w:trPr>
          <w:jc w:val="center"/>
        </w:trPr>
        <w:tc>
          <w:tcPr>
            <w:tcW w:w="2754" w:type="dxa"/>
          </w:tcPr>
          <w:p w14:paraId="259B3289" w14:textId="77777777" w:rsidR="00430B4B" w:rsidRPr="00CC73E0" w:rsidRDefault="00430B4B" w:rsidP="00766758">
            <w:pPr>
              <w:spacing w:line="360" w:lineRule="auto"/>
              <w:jc w:val="center"/>
              <w:rPr>
                <w:b/>
              </w:rPr>
            </w:pPr>
            <w:r w:rsidRPr="00CC73E0">
              <w:rPr>
                <w:b/>
              </w:rPr>
              <w:t>Τυπική Απόκλιση (%)</w:t>
            </w:r>
          </w:p>
        </w:tc>
        <w:tc>
          <w:tcPr>
            <w:tcW w:w="1762" w:type="dxa"/>
          </w:tcPr>
          <w:p w14:paraId="4DEE80AB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40%</w:t>
            </w:r>
          </w:p>
        </w:tc>
        <w:tc>
          <w:tcPr>
            <w:tcW w:w="2132" w:type="dxa"/>
          </w:tcPr>
          <w:p w14:paraId="51CB0439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10%</w:t>
            </w:r>
          </w:p>
        </w:tc>
        <w:tc>
          <w:tcPr>
            <w:tcW w:w="2132" w:type="dxa"/>
          </w:tcPr>
          <w:p w14:paraId="746DF252" w14:textId="77777777" w:rsidR="00430B4B" w:rsidRPr="00CC73E0" w:rsidRDefault="00430B4B" w:rsidP="00766758">
            <w:pPr>
              <w:spacing w:line="360" w:lineRule="auto"/>
              <w:jc w:val="center"/>
            </w:pPr>
            <w:r w:rsidRPr="00CC73E0">
              <w:t>15%</w:t>
            </w:r>
          </w:p>
        </w:tc>
      </w:tr>
    </w:tbl>
    <w:p w14:paraId="54053955" w14:textId="77777777" w:rsidR="00430B4B" w:rsidRDefault="00430B4B" w:rsidP="00430B4B">
      <w:pPr>
        <w:spacing w:line="360" w:lineRule="auto"/>
        <w:ind w:left="-142"/>
        <w:jc w:val="center"/>
        <w:rPr>
          <w:b/>
        </w:rPr>
      </w:pPr>
    </w:p>
    <w:p w14:paraId="67755BD3" w14:textId="77777777" w:rsidR="00430B4B" w:rsidRPr="00CC73E0" w:rsidRDefault="00430B4B" w:rsidP="00430B4B">
      <w:pPr>
        <w:spacing w:line="264" w:lineRule="auto"/>
        <w:ind w:left="-180"/>
        <w:jc w:val="both"/>
        <w:rPr>
          <w:rFonts w:eastAsia="Calibri"/>
          <w:lang w:eastAsia="en-US"/>
        </w:rPr>
      </w:pPr>
      <w:r w:rsidRPr="00CC73E0">
        <w:rPr>
          <w:rFonts w:eastAsia="Calibri"/>
          <w:lang w:eastAsia="en-US"/>
        </w:rPr>
        <w:t xml:space="preserve">Να αναλύσετε τα ευρήματα και να αναπτύξετε την χρησιμότητα των πληροφοριών αυτών για τους επενδυτές, τους συμβούλους αλλά και τους διαχειριστές χαρτοφυλακίων. </w:t>
      </w:r>
    </w:p>
    <w:p w14:paraId="1C50A7B7" w14:textId="77777777" w:rsidR="00430B4B" w:rsidRDefault="00430B4B" w:rsidP="00430B4B"/>
    <w:p w14:paraId="5D3EC6D5" w14:textId="77777777" w:rsidR="00766758" w:rsidRDefault="00766758" w:rsidP="00430B4B"/>
    <w:p w14:paraId="4C5ED1CA" w14:textId="77777777" w:rsidR="00430B4B" w:rsidRDefault="00430B4B" w:rsidP="00430B4B"/>
    <w:p w14:paraId="6CA30840" w14:textId="77777777" w:rsidR="00766758" w:rsidRDefault="00766758" w:rsidP="00430B4B"/>
    <w:p w14:paraId="45805F3C" w14:textId="77777777" w:rsidR="00766758" w:rsidRDefault="00766758" w:rsidP="00430B4B"/>
    <w:p w14:paraId="68D24E7F" w14:textId="77777777" w:rsidR="00430B4B" w:rsidRPr="00AA10EC" w:rsidRDefault="00766758" w:rsidP="00430B4B">
      <w:pPr>
        <w:spacing w:line="360" w:lineRule="auto"/>
        <w:rPr>
          <w:b/>
          <w:u w:val="single"/>
        </w:rPr>
      </w:pPr>
      <w:r w:rsidRPr="00AA10EC">
        <w:rPr>
          <w:b/>
          <w:u w:val="single"/>
        </w:rPr>
        <w:t>Θέμα 21</w:t>
      </w:r>
    </w:p>
    <w:p w14:paraId="671A45D6" w14:textId="77777777" w:rsidR="00766758" w:rsidRPr="00A07D74" w:rsidRDefault="00766758" w:rsidP="00430B4B">
      <w:pPr>
        <w:spacing w:line="360" w:lineRule="auto"/>
        <w:rPr>
          <w:sz w:val="16"/>
          <w:szCs w:val="16"/>
        </w:rPr>
      </w:pPr>
    </w:p>
    <w:p w14:paraId="75F60B90" w14:textId="77777777" w:rsidR="00430B4B" w:rsidRDefault="00430B4B" w:rsidP="00430B4B">
      <w:pPr>
        <w:spacing w:line="360" w:lineRule="auto"/>
      </w:pPr>
      <w:r>
        <w:t>Ένα θεωρητικό υπόδειγμα για να ελεγχθεί η επίδραση της αύξησης των κρατικών δαπανών επί της αύξησης της εγχώριας παραγωγής είναι:</w:t>
      </w:r>
    </w:p>
    <w:p w14:paraId="7B2697EF" w14:textId="77777777" w:rsidR="00430B4B" w:rsidRDefault="00430B4B" w:rsidP="00430B4B"/>
    <w:p w14:paraId="129F9926" w14:textId="77777777" w:rsidR="00430B4B" w:rsidRPr="00DC1CBF" w:rsidRDefault="00430B4B" w:rsidP="00430B4B">
      <w:pPr>
        <w:jc w:val="center"/>
        <w:rPr>
          <w:b/>
          <w:i/>
          <w:vertAlign w:val="subscript"/>
        </w:rPr>
      </w:pPr>
      <w:proofErr w:type="spellStart"/>
      <w:r w:rsidRPr="000968FB">
        <w:rPr>
          <w:b/>
          <w:i/>
          <w:lang w:val="en-US"/>
        </w:rPr>
        <w:t>gGDP</w:t>
      </w:r>
      <w:r w:rsidRPr="000968FB">
        <w:rPr>
          <w:b/>
          <w:i/>
          <w:vertAlign w:val="subscript"/>
          <w:lang w:val="en-US"/>
        </w:rPr>
        <w:t>t</w:t>
      </w:r>
      <w:proofErr w:type="spellEnd"/>
      <w:r w:rsidRPr="000968FB">
        <w:rPr>
          <w:b/>
          <w:i/>
          <w:vertAlign w:val="subscript"/>
        </w:rPr>
        <w:t xml:space="preserve"> </w:t>
      </w:r>
      <w:r w:rsidRPr="000968FB">
        <w:rPr>
          <w:b/>
          <w:i/>
        </w:rPr>
        <w:t>= β</w:t>
      </w:r>
      <w:r w:rsidRPr="000968FB">
        <w:rPr>
          <w:b/>
          <w:i/>
          <w:vertAlign w:val="subscript"/>
        </w:rPr>
        <w:t>0</w:t>
      </w:r>
      <w:r w:rsidRPr="000968FB">
        <w:rPr>
          <w:b/>
          <w:i/>
        </w:rPr>
        <w:t xml:space="preserve"> + β</w:t>
      </w:r>
      <w:r w:rsidRPr="000968FB">
        <w:rPr>
          <w:b/>
          <w:i/>
          <w:vertAlign w:val="subscript"/>
        </w:rPr>
        <w:t>1</w:t>
      </w:r>
      <w:proofErr w:type="spellStart"/>
      <w:r w:rsidRPr="000968FB">
        <w:rPr>
          <w:b/>
          <w:i/>
          <w:lang w:val="en-US"/>
        </w:rPr>
        <w:t>gGOV</w:t>
      </w:r>
      <w:r w:rsidRPr="000968FB">
        <w:rPr>
          <w:b/>
          <w:i/>
          <w:vertAlign w:val="subscript"/>
          <w:lang w:val="en-US"/>
        </w:rPr>
        <w:t>t</w:t>
      </w:r>
      <w:proofErr w:type="spellEnd"/>
      <w:r w:rsidRPr="000968FB">
        <w:rPr>
          <w:b/>
          <w:i/>
        </w:rPr>
        <w:t xml:space="preserve"> + β</w:t>
      </w:r>
      <w:r w:rsidRPr="000968FB">
        <w:rPr>
          <w:b/>
          <w:i/>
          <w:vertAlign w:val="subscript"/>
        </w:rPr>
        <w:t>2</w:t>
      </w:r>
      <w:proofErr w:type="spellStart"/>
      <w:r w:rsidRPr="000968FB">
        <w:rPr>
          <w:b/>
          <w:i/>
          <w:lang w:val="en-US"/>
        </w:rPr>
        <w:t>INVRAT</w:t>
      </w:r>
      <w:r w:rsidRPr="000968FB">
        <w:rPr>
          <w:b/>
          <w:i/>
          <w:vertAlign w:val="subscript"/>
          <w:lang w:val="en-US"/>
        </w:rPr>
        <w:t>t</w:t>
      </w:r>
      <w:proofErr w:type="spellEnd"/>
      <w:r w:rsidRPr="000968FB">
        <w:rPr>
          <w:b/>
          <w:i/>
        </w:rPr>
        <w:t xml:space="preserve"> + β</w:t>
      </w:r>
      <w:r w:rsidRPr="000968FB">
        <w:rPr>
          <w:b/>
          <w:i/>
          <w:vertAlign w:val="subscript"/>
        </w:rPr>
        <w:t>3</w:t>
      </w:r>
      <w:proofErr w:type="spellStart"/>
      <w:r w:rsidRPr="000968FB">
        <w:rPr>
          <w:b/>
          <w:i/>
          <w:lang w:val="en-US"/>
        </w:rPr>
        <w:t>gLAB</w:t>
      </w:r>
      <w:r w:rsidRPr="000968FB">
        <w:rPr>
          <w:b/>
          <w:i/>
          <w:vertAlign w:val="subscript"/>
          <w:lang w:val="en-US"/>
        </w:rPr>
        <w:t>t</w:t>
      </w:r>
      <w:proofErr w:type="spellEnd"/>
      <w:r w:rsidRPr="000968FB">
        <w:rPr>
          <w:b/>
          <w:i/>
        </w:rPr>
        <w:t xml:space="preserve"> + </w:t>
      </w:r>
      <w:proofErr w:type="spellStart"/>
      <w:r w:rsidRPr="000968FB">
        <w:rPr>
          <w:b/>
          <w:i/>
          <w:lang w:val="en-US"/>
        </w:rPr>
        <w:t>u</w:t>
      </w:r>
      <w:r w:rsidRPr="000968FB">
        <w:rPr>
          <w:b/>
          <w:i/>
          <w:vertAlign w:val="subscript"/>
          <w:lang w:val="en-US"/>
        </w:rPr>
        <w:t>t</w:t>
      </w:r>
      <w:proofErr w:type="spellEnd"/>
    </w:p>
    <w:p w14:paraId="0FC2FAE2" w14:textId="77777777" w:rsidR="00430B4B" w:rsidRPr="00DC1CBF" w:rsidRDefault="00430B4B" w:rsidP="00430B4B">
      <w:pPr>
        <w:jc w:val="center"/>
        <w:rPr>
          <w:b/>
          <w:i/>
          <w:vertAlign w:val="subscript"/>
        </w:rPr>
      </w:pPr>
    </w:p>
    <w:p w14:paraId="461F6CCB" w14:textId="77777777" w:rsidR="00430B4B" w:rsidRPr="00DC1CBF" w:rsidRDefault="00430B4B" w:rsidP="00430B4B">
      <w:pPr>
        <w:jc w:val="center"/>
        <w:rPr>
          <w:b/>
          <w:i/>
          <w:vertAlign w:val="subscript"/>
        </w:rPr>
      </w:pPr>
    </w:p>
    <w:p w14:paraId="3E9D8688" w14:textId="77777777" w:rsidR="00430B4B" w:rsidRDefault="00430B4B" w:rsidP="00430B4B">
      <w:pPr>
        <w:spacing w:line="360" w:lineRule="auto"/>
        <w:jc w:val="both"/>
      </w:pPr>
      <w:r>
        <w:t xml:space="preserve">όπου η </w:t>
      </w:r>
      <w:r w:rsidRPr="00402F9C">
        <w:rPr>
          <w:i/>
          <w:lang w:val="en-US"/>
        </w:rPr>
        <w:t>g</w:t>
      </w:r>
      <w:r>
        <w:rPr>
          <w:b/>
          <w:i/>
        </w:rPr>
        <w:t xml:space="preserve"> </w:t>
      </w:r>
      <w:r w:rsidRPr="000968FB">
        <w:t>συμβολίζει</w:t>
      </w:r>
      <w:r>
        <w:t xml:space="preserve"> το ρυθμό αύξησης, η μεταβλητή </w:t>
      </w:r>
      <w:r w:rsidRPr="000968FB">
        <w:rPr>
          <w:i/>
          <w:lang w:val="en-US"/>
        </w:rPr>
        <w:t>GDP</w:t>
      </w:r>
      <w:r>
        <w:rPr>
          <w:i/>
        </w:rPr>
        <w:t xml:space="preserve"> </w:t>
      </w:r>
      <w:r>
        <w:t xml:space="preserve">είναι το πραγματικό ακαθάριστο εγχώριο προϊόν, η </w:t>
      </w:r>
      <w:r w:rsidRPr="000968FB">
        <w:rPr>
          <w:i/>
          <w:lang w:val="en-US"/>
        </w:rPr>
        <w:t>GOV</w:t>
      </w:r>
      <w:r w:rsidRPr="000968FB">
        <w:rPr>
          <w:i/>
        </w:rPr>
        <w:t xml:space="preserve"> </w:t>
      </w:r>
      <w:r w:rsidRPr="000968FB">
        <w:t xml:space="preserve"> </w:t>
      </w:r>
      <w:r>
        <w:t xml:space="preserve">είναι οι πραγματικές κρατικές δαπάνες, η </w:t>
      </w:r>
      <w:r w:rsidRPr="00402F9C">
        <w:rPr>
          <w:i/>
          <w:lang w:val="en-US"/>
        </w:rPr>
        <w:t>INVRAT</w:t>
      </w:r>
      <w:r>
        <w:rPr>
          <w:i/>
        </w:rPr>
        <w:t xml:space="preserve"> </w:t>
      </w:r>
      <w:r w:rsidRPr="00402F9C">
        <w:t xml:space="preserve"> </w:t>
      </w:r>
      <w:r>
        <w:t xml:space="preserve">είναι το πηλίκο των ακαθάριστων εγχώριων επενδύσεων προς το ακαθάριστο εγχώριο προϊόν, και η </w:t>
      </w:r>
      <w:r w:rsidRPr="00402F9C">
        <w:rPr>
          <w:i/>
          <w:lang w:val="en-US"/>
        </w:rPr>
        <w:t>LAB</w:t>
      </w:r>
      <w:r w:rsidRPr="00402F9C">
        <w:t xml:space="preserve"> </w:t>
      </w:r>
      <w:r>
        <w:t>είναι το μέγεθος του εργατικού δυναμικού.</w:t>
      </w:r>
    </w:p>
    <w:p w14:paraId="3C3EE0A1" w14:textId="77777777" w:rsidR="00430B4B" w:rsidRDefault="00430B4B" w:rsidP="00430B4B">
      <w:pPr>
        <w:spacing w:line="360" w:lineRule="auto"/>
        <w:ind w:firstLine="720"/>
        <w:jc w:val="both"/>
      </w:pPr>
      <w:r>
        <w:t>Εκτιμώντας το παραπάνω υπόδειγμα με ετήσια δεδομένα για την περίοδο 1980-2010 και για την ελληνική οικονομία προέκυψαν τα παρακάτω εμπειρικά αποτελέσματα:</w:t>
      </w:r>
    </w:p>
    <w:p w14:paraId="533C566E" w14:textId="77777777" w:rsidR="00430B4B" w:rsidRDefault="00430B4B" w:rsidP="00430B4B">
      <w:pPr>
        <w:spacing w:line="360" w:lineRule="auto"/>
        <w:ind w:firstLine="720"/>
        <w:jc w:val="both"/>
      </w:pPr>
    </w:p>
    <w:p w14:paraId="4CCCA0E9" w14:textId="77777777" w:rsidR="00430B4B" w:rsidRPr="00DC1CBF" w:rsidRDefault="00430B4B" w:rsidP="00430B4B">
      <w:pPr>
        <w:jc w:val="center"/>
        <w:rPr>
          <w:b/>
          <w:i/>
          <w:vertAlign w:val="subscript"/>
          <w:lang w:val="en-US"/>
        </w:rPr>
      </w:pPr>
      <w:r w:rsidRPr="00624D50">
        <w:rPr>
          <w:b/>
          <w:i/>
          <w:lang w:val="sv-SE"/>
        </w:rPr>
        <w:t>gGDP</w:t>
      </w:r>
      <w:r w:rsidRPr="00624D50">
        <w:rPr>
          <w:b/>
          <w:i/>
          <w:vertAlign w:val="subscript"/>
          <w:lang w:val="sv-SE"/>
        </w:rPr>
        <w:t>t</w:t>
      </w:r>
      <w:r w:rsidRPr="00DC1CBF">
        <w:rPr>
          <w:b/>
          <w:i/>
          <w:vertAlign w:val="subscript"/>
          <w:lang w:val="en-US"/>
        </w:rPr>
        <w:t xml:space="preserve"> </w:t>
      </w:r>
      <w:r w:rsidRPr="00DC1CBF">
        <w:rPr>
          <w:b/>
          <w:i/>
          <w:lang w:val="en-US"/>
        </w:rPr>
        <w:t>= 0,5 + 4</w:t>
      </w:r>
      <w:r>
        <w:rPr>
          <w:b/>
          <w:i/>
          <w:lang w:val="en-US"/>
        </w:rPr>
        <w:t>g</w:t>
      </w:r>
      <w:r w:rsidRPr="00624D50">
        <w:rPr>
          <w:b/>
          <w:i/>
          <w:lang w:val="sv-SE"/>
        </w:rPr>
        <w:t>GOV</w:t>
      </w:r>
      <w:r w:rsidRPr="00624D50">
        <w:rPr>
          <w:b/>
          <w:i/>
          <w:vertAlign w:val="subscript"/>
          <w:lang w:val="sv-SE"/>
        </w:rPr>
        <w:t>t</w:t>
      </w:r>
      <w:r w:rsidRPr="00DC1CBF">
        <w:rPr>
          <w:b/>
          <w:i/>
          <w:lang w:val="en-US"/>
        </w:rPr>
        <w:t xml:space="preserve"> + 10</w:t>
      </w:r>
      <w:r w:rsidRPr="00624D50">
        <w:rPr>
          <w:b/>
          <w:i/>
          <w:lang w:val="sv-SE"/>
        </w:rPr>
        <w:t>INVRAT</w:t>
      </w:r>
      <w:r w:rsidRPr="00624D50">
        <w:rPr>
          <w:b/>
          <w:i/>
          <w:vertAlign w:val="subscript"/>
          <w:lang w:val="sv-SE"/>
        </w:rPr>
        <w:t>t</w:t>
      </w:r>
      <w:r w:rsidRPr="00DC1CBF">
        <w:rPr>
          <w:b/>
          <w:i/>
          <w:lang w:val="en-US"/>
        </w:rPr>
        <w:t xml:space="preserve"> + 500</w:t>
      </w:r>
      <w:r>
        <w:rPr>
          <w:b/>
          <w:i/>
          <w:lang w:val="en-US"/>
        </w:rPr>
        <w:t>g</w:t>
      </w:r>
      <w:r w:rsidRPr="00624D50">
        <w:rPr>
          <w:b/>
          <w:i/>
          <w:lang w:val="sv-SE"/>
        </w:rPr>
        <w:t>LAB</w:t>
      </w:r>
      <w:r w:rsidRPr="00624D50">
        <w:rPr>
          <w:b/>
          <w:i/>
          <w:vertAlign w:val="subscript"/>
          <w:lang w:val="sv-SE"/>
        </w:rPr>
        <w:t>t</w:t>
      </w:r>
      <w:r w:rsidRPr="00DC1CBF">
        <w:rPr>
          <w:b/>
          <w:i/>
          <w:lang w:val="en-US"/>
        </w:rPr>
        <w:t xml:space="preserve"> + û</w:t>
      </w:r>
      <w:r w:rsidRPr="00624D50">
        <w:rPr>
          <w:b/>
          <w:i/>
          <w:vertAlign w:val="subscript"/>
          <w:lang w:val="sv-SE"/>
        </w:rPr>
        <w:t>t</w:t>
      </w:r>
    </w:p>
    <w:p w14:paraId="6145FA83" w14:textId="77777777" w:rsidR="00430B4B" w:rsidRPr="00DC1CBF" w:rsidRDefault="00430B4B" w:rsidP="00430B4B">
      <w:pPr>
        <w:jc w:val="both"/>
        <w:rPr>
          <w:b/>
          <w:i/>
          <w:sz w:val="20"/>
          <w:szCs w:val="20"/>
          <w:lang w:val="en-US"/>
        </w:rPr>
      </w:pPr>
      <w:r w:rsidRPr="00DC1CBF">
        <w:rPr>
          <w:b/>
          <w:i/>
          <w:lang w:val="en-US"/>
        </w:rPr>
        <w:t xml:space="preserve">                                        </w:t>
      </w:r>
      <w:r w:rsidRPr="00DC1CBF">
        <w:rPr>
          <w:b/>
          <w:i/>
          <w:sz w:val="20"/>
          <w:szCs w:val="20"/>
          <w:lang w:val="en-US"/>
        </w:rPr>
        <w:t>(0.1)     (1)             (20)                      (200)</w:t>
      </w:r>
    </w:p>
    <w:p w14:paraId="54A854B2" w14:textId="77777777" w:rsidR="00430B4B" w:rsidRPr="00DC1CBF" w:rsidRDefault="00430B4B" w:rsidP="00430B4B">
      <w:pPr>
        <w:jc w:val="both"/>
        <w:rPr>
          <w:lang w:val="en-US"/>
        </w:rPr>
      </w:pPr>
    </w:p>
    <w:p w14:paraId="58C61A16" w14:textId="77777777" w:rsidR="00430B4B" w:rsidRPr="00AC4F35" w:rsidRDefault="00430B4B" w:rsidP="00430B4B">
      <w:pPr>
        <w:jc w:val="both"/>
      </w:pPr>
      <w:r>
        <w:t>όπου οι εντός των παρενθέσεων τιμές είναι τυπικά σφάλματα</w:t>
      </w:r>
    </w:p>
    <w:p w14:paraId="42E3ADA3" w14:textId="77777777" w:rsidR="00430B4B" w:rsidRDefault="00430B4B" w:rsidP="00430B4B">
      <w:pPr>
        <w:jc w:val="both"/>
      </w:pPr>
    </w:p>
    <w:p w14:paraId="3389126B" w14:textId="77777777" w:rsidR="00430B4B" w:rsidRDefault="00430B4B" w:rsidP="00430B4B">
      <w:pPr>
        <w:jc w:val="both"/>
      </w:pPr>
      <w:r>
        <w:rPr>
          <w:lang w:val="en-US"/>
        </w:rPr>
        <w:t>R</w:t>
      </w:r>
      <w:r w:rsidRPr="00AC4F35">
        <w:rPr>
          <w:vertAlign w:val="superscript"/>
        </w:rPr>
        <w:t>2</w:t>
      </w:r>
      <w:r w:rsidRPr="00AC4F35">
        <w:t>= 0.15</w:t>
      </w:r>
    </w:p>
    <w:p w14:paraId="2C94624C" w14:textId="77777777" w:rsidR="00430B4B" w:rsidRPr="007A6CE9" w:rsidRDefault="00430B4B" w:rsidP="00430B4B">
      <w:pPr>
        <w:jc w:val="both"/>
      </w:pPr>
    </w:p>
    <w:p w14:paraId="538BC5C4" w14:textId="77777777" w:rsidR="00430B4B" w:rsidRPr="00AC4F35" w:rsidRDefault="00430B4B" w:rsidP="00430B4B">
      <w:pPr>
        <w:jc w:val="both"/>
      </w:pPr>
    </w:p>
    <w:p w14:paraId="342EC6F9" w14:textId="77777777" w:rsidR="00430B4B" w:rsidRDefault="00430B4B" w:rsidP="00430B4B">
      <w:pPr>
        <w:numPr>
          <w:ilvl w:val="0"/>
          <w:numId w:val="2"/>
        </w:numPr>
        <w:spacing w:line="360" w:lineRule="auto"/>
        <w:jc w:val="both"/>
      </w:pPr>
      <w:r>
        <w:t>Ζητείται να αναλύσε</w:t>
      </w:r>
      <w:r w:rsidRPr="006B385D">
        <w:t xml:space="preserve">τε </w:t>
      </w:r>
      <w:r>
        <w:t>εξονυχιστικά και να ερμηνεύσετε τα εμπειρικά αποτελέσματα</w:t>
      </w:r>
      <w:r w:rsidRPr="006B385D">
        <w:t xml:space="preserve"> </w:t>
      </w:r>
      <w:r>
        <w:t>διενεργώντας οικονομικό,</w:t>
      </w:r>
      <w:r w:rsidRPr="00267ECB">
        <w:t xml:space="preserve"> </w:t>
      </w:r>
      <w:r>
        <w:t>στατιστικό και οικονομετρικό έλεγχο</w:t>
      </w:r>
      <w:r w:rsidRPr="006B385D">
        <w:t>.</w:t>
      </w:r>
    </w:p>
    <w:p w14:paraId="0193FEF9" w14:textId="77777777" w:rsidR="00430B4B" w:rsidRDefault="00430B4B" w:rsidP="00430B4B">
      <w:pPr>
        <w:spacing w:line="360" w:lineRule="auto"/>
        <w:ind w:left="-142"/>
        <w:jc w:val="both"/>
      </w:pPr>
    </w:p>
    <w:p w14:paraId="25A958FF" w14:textId="77777777" w:rsidR="00766758" w:rsidRPr="00AA10EC" w:rsidRDefault="00430B4B" w:rsidP="00430B4B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 Ποια είναι η χρησιμότητα των εμπειρικών αυτών αποτελεσμάτων και σε ποιους απευθύνονται;</w:t>
      </w:r>
    </w:p>
    <w:p w14:paraId="6CC7ED80" w14:textId="77777777" w:rsidR="00766758" w:rsidRDefault="00766758" w:rsidP="00430B4B">
      <w:pPr>
        <w:spacing w:line="360" w:lineRule="auto"/>
        <w:jc w:val="both"/>
        <w:rPr>
          <w:b/>
        </w:rPr>
      </w:pPr>
    </w:p>
    <w:p w14:paraId="4CEF3C0D" w14:textId="77777777" w:rsidR="00430B4B" w:rsidRPr="00AA10EC" w:rsidRDefault="00766758" w:rsidP="00430B4B">
      <w:pPr>
        <w:jc w:val="both"/>
        <w:rPr>
          <w:u w:val="single"/>
        </w:rPr>
      </w:pPr>
      <w:r w:rsidRPr="00AA10EC">
        <w:rPr>
          <w:b/>
          <w:u w:val="single"/>
        </w:rPr>
        <w:t>Θέμα 22</w:t>
      </w:r>
    </w:p>
    <w:p w14:paraId="10DF9A37" w14:textId="77777777" w:rsidR="00430B4B" w:rsidRPr="00DC1CBF" w:rsidRDefault="00430B4B" w:rsidP="00430B4B">
      <w:pPr>
        <w:spacing w:line="360" w:lineRule="auto"/>
        <w:ind w:firstLine="720"/>
        <w:jc w:val="center"/>
        <w:rPr>
          <w:b/>
          <w:sz w:val="16"/>
          <w:szCs w:val="16"/>
          <w:u w:val="single"/>
        </w:rPr>
      </w:pPr>
    </w:p>
    <w:p w14:paraId="6D2BDB23" w14:textId="77777777" w:rsidR="00430B4B" w:rsidRPr="00C371DC" w:rsidRDefault="00430B4B" w:rsidP="00430B4B">
      <w:pPr>
        <w:spacing w:line="360" w:lineRule="auto"/>
        <w:jc w:val="both"/>
      </w:pPr>
      <w:r>
        <w:t xml:space="preserve">Για την εκτίμηση ενός υποδείγματος </w:t>
      </w:r>
      <w:r>
        <w:rPr>
          <w:lang w:val="en-US"/>
        </w:rPr>
        <w:t>Y</w:t>
      </w:r>
      <w:r w:rsidRPr="00AA6681">
        <w:t xml:space="preserve">= </w:t>
      </w:r>
      <w:r>
        <w:rPr>
          <w:lang w:val="en-US"/>
        </w:rPr>
        <w:t>a</w:t>
      </w:r>
      <w:r w:rsidRPr="00AA6681">
        <w:t xml:space="preserve"> + </w:t>
      </w:r>
      <w:proofErr w:type="spellStart"/>
      <w:r>
        <w:rPr>
          <w:lang w:val="en-US"/>
        </w:rPr>
        <w:t>bX</w:t>
      </w:r>
      <w:proofErr w:type="spellEnd"/>
      <w:r w:rsidRPr="00AA6681">
        <w:t xml:space="preserve"> + </w:t>
      </w:r>
      <w:r>
        <w:rPr>
          <w:lang w:val="en-US"/>
        </w:rPr>
        <w:t>u</w:t>
      </w:r>
      <w:r w:rsidR="00C371DC">
        <w:t xml:space="preserve"> :</w:t>
      </w:r>
    </w:p>
    <w:p w14:paraId="4682BF88" w14:textId="77777777" w:rsidR="00766758" w:rsidRDefault="00430B4B" w:rsidP="00AA10EC">
      <w:pPr>
        <w:spacing w:line="360" w:lineRule="auto"/>
        <w:jc w:val="both"/>
      </w:pPr>
      <w:r>
        <w:t xml:space="preserve">α) Ποιες είναι οι βασικές υποθέσεις που πρέπει να πληρούνται ώστε οι εκτιμητές ελαχίστων τετραγώνων να είναι </w:t>
      </w:r>
      <w:r>
        <w:rPr>
          <w:lang w:val="en-US"/>
        </w:rPr>
        <w:t>BLUE</w:t>
      </w:r>
      <w:r w:rsidRPr="00AA6681">
        <w:t xml:space="preserve"> (</w:t>
      </w:r>
      <w:r>
        <w:rPr>
          <w:lang w:val="en-US"/>
        </w:rPr>
        <w:t>Best</w:t>
      </w:r>
      <w:r w:rsidRPr="00AA6681">
        <w:t xml:space="preserve"> </w:t>
      </w:r>
      <w:r>
        <w:rPr>
          <w:lang w:val="en-US"/>
        </w:rPr>
        <w:t>Linear</w:t>
      </w:r>
      <w:r w:rsidRPr="00AA6681">
        <w:t xml:space="preserve"> </w:t>
      </w:r>
      <w:r>
        <w:rPr>
          <w:lang w:val="en-US"/>
        </w:rPr>
        <w:t>Unbiased</w:t>
      </w:r>
      <w:r w:rsidRPr="00AA6681">
        <w:t xml:space="preserve"> </w:t>
      </w:r>
      <w:r>
        <w:rPr>
          <w:lang w:val="en-US"/>
        </w:rPr>
        <w:t>Estimators</w:t>
      </w:r>
      <w:r w:rsidRPr="00AA6681">
        <w:t>)</w:t>
      </w:r>
      <w:r>
        <w:t>;</w:t>
      </w:r>
      <w:r w:rsidR="00C371DC">
        <w:br/>
      </w:r>
      <w:r>
        <w:t>β) Περιγράψτε τη διαφορά του αμερόληπτου εκτιμητή από τον αποτελεσματικό εκτιμητή.</w:t>
      </w:r>
    </w:p>
    <w:p w14:paraId="20FA9AF3" w14:textId="77777777" w:rsidR="00430B4B" w:rsidRDefault="00430B4B" w:rsidP="00430B4B"/>
    <w:p w14:paraId="49172E40" w14:textId="77777777" w:rsidR="00766758" w:rsidRPr="00AA10EC" w:rsidRDefault="00766758" w:rsidP="00430B4B">
      <w:pPr>
        <w:spacing w:line="264" w:lineRule="auto"/>
        <w:ind w:left="-142"/>
        <w:rPr>
          <w:b/>
          <w:u w:val="single"/>
        </w:rPr>
      </w:pPr>
      <w:r w:rsidRPr="00AA10EC">
        <w:rPr>
          <w:b/>
          <w:u w:val="single"/>
        </w:rPr>
        <w:t>Θέμα</w:t>
      </w:r>
      <w:r w:rsidRPr="00AA10EC">
        <w:rPr>
          <w:u w:val="single"/>
        </w:rPr>
        <w:t xml:space="preserve"> </w:t>
      </w:r>
      <w:r w:rsidRPr="00AA10EC">
        <w:rPr>
          <w:b/>
          <w:u w:val="single"/>
        </w:rPr>
        <w:t>23</w:t>
      </w:r>
    </w:p>
    <w:p w14:paraId="19561C27" w14:textId="77777777" w:rsidR="00766758" w:rsidRDefault="00766758" w:rsidP="00430B4B">
      <w:pPr>
        <w:spacing w:line="264" w:lineRule="auto"/>
        <w:ind w:left="-142"/>
      </w:pPr>
    </w:p>
    <w:p w14:paraId="1782C1E9" w14:textId="77777777" w:rsidR="00430B4B" w:rsidRDefault="00430B4B" w:rsidP="00430B4B">
      <w:pPr>
        <w:spacing w:line="264" w:lineRule="auto"/>
        <w:ind w:left="-142"/>
      </w:pPr>
      <w:r>
        <w:t>Α) Σε ένα οικονομετρικό υπόδειγμα τ</w:t>
      </w:r>
      <w:r w:rsidRPr="00A14C2F">
        <w:t xml:space="preserve">ι απεικονίζουν τα </w:t>
      </w:r>
      <w:proofErr w:type="spellStart"/>
      <w:r w:rsidRPr="008C3F4F">
        <w:rPr>
          <w:i/>
          <w:lang w:val="en-US"/>
        </w:rPr>
        <w:t>u</w:t>
      </w:r>
      <w:r w:rsidRPr="008C3F4F">
        <w:rPr>
          <w:i/>
          <w:vertAlign w:val="subscript"/>
          <w:lang w:val="en-US"/>
        </w:rPr>
        <w:t>t</w:t>
      </w:r>
      <w:proofErr w:type="spellEnd"/>
      <w:r w:rsidRPr="008C3F4F">
        <w:rPr>
          <w:i/>
        </w:rPr>
        <w:t xml:space="preserve"> </w:t>
      </w:r>
      <w:r w:rsidRPr="00A14C2F">
        <w:rPr>
          <w:b/>
          <w:i/>
        </w:rPr>
        <w:t xml:space="preserve"> </w:t>
      </w:r>
      <w:r w:rsidRPr="00A14C2F">
        <w:t>και τα</w:t>
      </w:r>
      <w:r w:rsidRPr="00A14C2F">
        <w:rPr>
          <w:b/>
          <w:i/>
        </w:rPr>
        <w:t xml:space="preserve"> </w:t>
      </w:r>
      <w:r w:rsidRPr="008C3F4F">
        <w:rPr>
          <w:i/>
        </w:rPr>
        <w:t>û</w:t>
      </w:r>
      <w:r w:rsidRPr="008C3F4F">
        <w:rPr>
          <w:i/>
          <w:vertAlign w:val="subscript"/>
          <w:lang w:val="sv-SE"/>
        </w:rPr>
        <w:t>t</w:t>
      </w:r>
      <w:r w:rsidRPr="008C3F4F">
        <w:rPr>
          <w:i/>
          <w:vertAlign w:val="subscript"/>
        </w:rPr>
        <w:t xml:space="preserve"> </w:t>
      </w:r>
      <w:r w:rsidRPr="003652D3">
        <w:t>;</w:t>
      </w:r>
    </w:p>
    <w:p w14:paraId="0E55D4E6" w14:textId="77777777" w:rsidR="00430B4B" w:rsidRDefault="00430B4B" w:rsidP="00430B4B">
      <w:pPr>
        <w:spacing w:line="264" w:lineRule="auto"/>
        <w:ind w:left="-142"/>
      </w:pPr>
    </w:p>
    <w:p w14:paraId="0DD53973" w14:textId="77777777" w:rsidR="00430B4B" w:rsidRDefault="00430B4B" w:rsidP="00430B4B">
      <w:pPr>
        <w:spacing w:line="264" w:lineRule="auto"/>
        <w:ind w:left="-142"/>
        <w:jc w:val="both"/>
      </w:pPr>
      <w:r>
        <w:t xml:space="preserve">Β) Υπάρχουν περιουσιακά στοιχεία (επενδύσεις) με αρνητικό </w:t>
      </w:r>
      <w:r>
        <w:rPr>
          <w:lang w:val="en-US"/>
        </w:rPr>
        <w:t>beta</w:t>
      </w:r>
      <w:r w:rsidRPr="00DB3B8C">
        <w:t xml:space="preserve"> ;</w:t>
      </w:r>
      <w:r>
        <w:t>αναφέρατε .</w:t>
      </w:r>
    </w:p>
    <w:p w14:paraId="4809A59A" w14:textId="7A1D3348" w:rsidR="00430B4B" w:rsidRDefault="00430B4B" w:rsidP="00C371DC">
      <w:pPr>
        <w:spacing w:line="264" w:lineRule="auto"/>
        <w:ind w:left="-180"/>
        <w:jc w:val="both"/>
      </w:pPr>
      <w:r>
        <w:t>Γ)</w:t>
      </w:r>
      <w:r w:rsidRPr="00430B4B">
        <w:t xml:space="preserve"> </w:t>
      </w:r>
      <w:r w:rsidRPr="00334F1E">
        <w:t>Τι γνωρίζετε για την αυτοσυσχέτιση</w:t>
      </w:r>
      <w:r w:rsidRPr="00DB3B8C">
        <w:t xml:space="preserve"> (</w:t>
      </w:r>
      <w:r>
        <w:rPr>
          <w:lang w:val="en-US"/>
        </w:rPr>
        <w:t>autocorrelation</w:t>
      </w:r>
      <w:r w:rsidRPr="00DB3B8C">
        <w:t xml:space="preserve">) </w:t>
      </w:r>
      <w:r>
        <w:t xml:space="preserve"> </w:t>
      </w:r>
      <w:r w:rsidRPr="00334F1E">
        <w:t>; πού και πότε εμφανίζεται ;</w:t>
      </w:r>
      <w:r>
        <w:t xml:space="preserve"> πως ανιχνεύεται </w:t>
      </w:r>
      <w:r w:rsidR="00C371DC">
        <w:t>;</w:t>
      </w:r>
    </w:p>
    <w:p w14:paraId="4D453F4D" w14:textId="749A4769" w:rsidR="001738EF" w:rsidRDefault="001738EF" w:rsidP="00C371DC">
      <w:pPr>
        <w:spacing w:line="264" w:lineRule="auto"/>
        <w:ind w:left="-180"/>
        <w:jc w:val="both"/>
      </w:pPr>
    </w:p>
    <w:p w14:paraId="73DFA2E6" w14:textId="012E6316" w:rsidR="001738EF" w:rsidRDefault="001738EF" w:rsidP="001738EF">
      <w:pPr>
        <w:spacing w:line="264" w:lineRule="auto"/>
        <w:ind w:left="-180"/>
        <w:jc w:val="both"/>
      </w:pPr>
      <w:r>
        <w:t>Θέμα 24</w:t>
      </w:r>
    </w:p>
    <w:p w14:paraId="04B143FC" w14:textId="77777777" w:rsidR="001738EF" w:rsidRPr="00DB3B8C" w:rsidRDefault="001738EF" w:rsidP="001738EF">
      <w:pPr>
        <w:spacing w:line="264" w:lineRule="auto"/>
        <w:ind w:left="-142"/>
        <w:jc w:val="both"/>
      </w:pPr>
      <w:r>
        <w:t xml:space="preserve">α) </w:t>
      </w:r>
      <w:r w:rsidRPr="006B385D">
        <w:t>Στο υπόδειγμα της αγοράς (</w:t>
      </w:r>
      <w:r w:rsidRPr="006B385D">
        <w:rPr>
          <w:lang w:val="en-US"/>
        </w:rPr>
        <w:t>market</w:t>
      </w:r>
      <w:r w:rsidRPr="006B385D">
        <w:t xml:space="preserve"> </w:t>
      </w:r>
      <w:r w:rsidRPr="006B385D">
        <w:rPr>
          <w:lang w:val="en-US"/>
        </w:rPr>
        <w:t>model</w:t>
      </w:r>
      <w:r w:rsidRPr="006B385D">
        <w:t xml:space="preserve">), όπου οι αποδόσεις μιας μετοχής </w:t>
      </w:r>
      <w:proofErr w:type="spellStart"/>
      <w:r w:rsidRPr="006B385D">
        <w:t>παλινδρομούνται</w:t>
      </w:r>
      <w:proofErr w:type="spellEnd"/>
      <w:r w:rsidRPr="006B385D">
        <w:t xml:space="preserve"> στις αποδόσεις του Γενικού Δείκτη του Χρηματιστηρίου, τι εκφράζει η στατιστική </w:t>
      </w:r>
      <w:r w:rsidRPr="006B385D">
        <w:rPr>
          <w:lang w:val="en-US"/>
        </w:rPr>
        <w:t>R</w:t>
      </w:r>
      <w:r w:rsidRPr="006B385D">
        <w:rPr>
          <w:vertAlign w:val="superscript"/>
        </w:rPr>
        <w:t>2</w:t>
      </w:r>
      <w:r w:rsidRPr="006B385D">
        <w:t xml:space="preserve">. </w:t>
      </w:r>
      <w:r>
        <w:t xml:space="preserve"> Πως γίνεται ο έλεγχος στατιστικής σημαντικότητας του </w:t>
      </w:r>
      <w:r w:rsidRPr="006B385D">
        <w:rPr>
          <w:lang w:val="en-US"/>
        </w:rPr>
        <w:t>R</w:t>
      </w:r>
      <w:r w:rsidRPr="006B385D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6B385D">
        <w:t>Αναπτύξτε.</w:t>
      </w:r>
    </w:p>
    <w:p w14:paraId="1F89DB4A" w14:textId="77777777" w:rsidR="001738EF" w:rsidRDefault="001738EF" w:rsidP="001738EF">
      <w:pPr>
        <w:spacing w:line="264" w:lineRule="auto"/>
        <w:ind w:left="-142"/>
        <w:jc w:val="both"/>
      </w:pPr>
      <w:r>
        <w:t xml:space="preserve">β) τι γνωρίζετε για τον συντελεστή </w:t>
      </w:r>
      <w:r>
        <w:rPr>
          <w:lang w:val="en-US"/>
        </w:rPr>
        <w:t>beta</w:t>
      </w:r>
      <w:r w:rsidRPr="00DB3B8C">
        <w:t xml:space="preserve"> </w:t>
      </w:r>
      <w:r>
        <w:t xml:space="preserve">ενός περιουσιακού στοιχείου.  Αναφέρατε μερικές επιθετικές ελληνικές μετοχές και ορισμένες αμυντικές . Υπάρχουν περιουσιακά στοιχεία με μηδενικό </w:t>
      </w:r>
      <w:r>
        <w:rPr>
          <w:lang w:val="en-US"/>
        </w:rPr>
        <w:t>beta</w:t>
      </w:r>
      <w:r w:rsidRPr="001F6651">
        <w:t xml:space="preserve"> </w:t>
      </w:r>
      <w:r>
        <w:t>σήμερα στην Ελλάδα</w:t>
      </w:r>
      <w:r w:rsidRPr="001F6651">
        <w:t>;</w:t>
      </w:r>
      <w:r>
        <w:t xml:space="preserve"> </w:t>
      </w:r>
      <w:proofErr w:type="spellStart"/>
      <w:r>
        <w:t>Ποιά</w:t>
      </w:r>
      <w:proofErr w:type="spellEnd"/>
      <w:r>
        <w:t xml:space="preserve"> είναι αυτά αν υπάρχουν </w:t>
      </w:r>
      <w:r w:rsidRPr="00DB3B8C">
        <w:t xml:space="preserve"> ;</w:t>
      </w:r>
    </w:p>
    <w:p w14:paraId="06AE56F7" w14:textId="77777777" w:rsidR="001738EF" w:rsidRPr="00DB3B8C" w:rsidRDefault="001738EF" w:rsidP="001738EF">
      <w:pPr>
        <w:spacing w:line="264" w:lineRule="auto"/>
        <w:ind w:left="-142"/>
        <w:jc w:val="both"/>
      </w:pPr>
      <w:r>
        <w:t xml:space="preserve">Υπάρχουν περιουσιακά στοιχεία (επενδύσεις) με αρνητικό </w:t>
      </w:r>
      <w:r>
        <w:rPr>
          <w:lang w:val="en-US"/>
        </w:rPr>
        <w:t>beta</w:t>
      </w:r>
      <w:r w:rsidRPr="00DB3B8C">
        <w:t xml:space="preserve"> ;</w:t>
      </w:r>
      <w:r>
        <w:t>αναφέρατε .</w:t>
      </w:r>
    </w:p>
    <w:p w14:paraId="6B9BF079" w14:textId="60045AFF" w:rsidR="001738EF" w:rsidRDefault="001738EF" w:rsidP="001738EF">
      <w:pPr>
        <w:spacing w:line="264" w:lineRule="auto"/>
        <w:ind w:left="-180"/>
        <w:jc w:val="both"/>
      </w:pPr>
    </w:p>
    <w:p w14:paraId="4BE102B4" w14:textId="1318F96F" w:rsidR="001738EF" w:rsidRPr="001738EF" w:rsidRDefault="001738EF" w:rsidP="001738EF">
      <w:pPr>
        <w:spacing w:line="264" w:lineRule="auto"/>
        <w:ind w:left="-180"/>
        <w:jc w:val="both"/>
        <w:rPr>
          <w:b/>
          <w:bCs/>
        </w:rPr>
      </w:pPr>
      <w:r w:rsidRPr="001738EF">
        <w:rPr>
          <w:b/>
          <w:bCs/>
        </w:rPr>
        <w:t>Θέμα 25</w:t>
      </w:r>
    </w:p>
    <w:p w14:paraId="1231848B" w14:textId="77777777" w:rsidR="001738EF" w:rsidRPr="00D44255" w:rsidRDefault="001738EF" w:rsidP="001738EF">
      <w:pPr>
        <w:spacing w:line="264" w:lineRule="auto"/>
        <w:ind w:left="-180"/>
        <w:jc w:val="both"/>
        <w:rPr>
          <w:b/>
        </w:rPr>
      </w:pPr>
    </w:p>
    <w:p w14:paraId="10B6711C" w14:textId="595135C8" w:rsidR="001738EF" w:rsidRDefault="001738EF" w:rsidP="001738EF">
      <w:pPr>
        <w:spacing w:line="264" w:lineRule="auto"/>
        <w:ind w:left="-180"/>
        <w:jc w:val="both"/>
      </w:pPr>
      <w:r>
        <w:t xml:space="preserve">α) Τι γνωρίζετε για τον συντελεστή </w:t>
      </w:r>
      <w:r w:rsidRPr="00613213">
        <w:t xml:space="preserve"> συσχέτισης</w:t>
      </w:r>
      <w:r>
        <w:t xml:space="preserve"> δύο μεταβλητών</w:t>
      </w:r>
      <w:r w:rsidRPr="00DB3B8C">
        <w:t xml:space="preserve"> ;</w:t>
      </w:r>
      <w:r>
        <w:t xml:space="preserve"> γιατί είναι χρήσιμος στην χρηματοοικονομική και που χρησιμοποιείται </w:t>
      </w:r>
      <w:r w:rsidRPr="001F6651">
        <w:t>;</w:t>
      </w:r>
      <w:r>
        <w:t xml:space="preserve">Αναπτύξτε τα χαρακτηριστικά του </w:t>
      </w:r>
      <w:r w:rsidRPr="00434C11">
        <w:t>.</w:t>
      </w:r>
      <w:r w:rsidRPr="00613213">
        <w:t xml:space="preserve"> </w:t>
      </w:r>
    </w:p>
    <w:p w14:paraId="2A0E6EF1" w14:textId="77777777" w:rsidR="001738EF" w:rsidRDefault="001738EF" w:rsidP="001738EF">
      <w:pPr>
        <w:spacing w:line="264" w:lineRule="auto"/>
        <w:ind w:left="-180"/>
      </w:pPr>
      <w:r>
        <w:t xml:space="preserve">Β) Γιατί είναι χρήσιμος στην χρηματοοικονομική και που χρησιμοποιείται; </w:t>
      </w:r>
    </w:p>
    <w:p w14:paraId="1B891AEA" w14:textId="77777777" w:rsidR="001738EF" w:rsidRDefault="001738EF" w:rsidP="001738EF">
      <w:pPr>
        <w:spacing w:line="264" w:lineRule="auto"/>
        <w:ind w:left="-180"/>
        <w:jc w:val="both"/>
      </w:pPr>
    </w:p>
    <w:p w14:paraId="0815274A" w14:textId="77777777" w:rsidR="001738EF" w:rsidRDefault="001738EF" w:rsidP="001738EF">
      <w:pPr>
        <w:spacing w:line="264" w:lineRule="auto"/>
        <w:ind w:left="-180"/>
        <w:jc w:val="both"/>
      </w:pPr>
      <w:bookmarkStart w:id="0" w:name="_GoBack"/>
      <w:bookmarkEnd w:id="0"/>
    </w:p>
    <w:p w14:paraId="43B6B77B" w14:textId="0C46A365" w:rsidR="001738EF" w:rsidRDefault="001738EF" w:rsidP="001738EF">
      <w:pPr>
        <w:spacing w:line="264" w:lineRule="auto"/>
        <w:ind w:left="-180"/>
        <w:jc w:val="both"/>
        <w:rPr>
          <w:b/>
        </w:rPr>
      </w:pPr>
      <w:r w:rsidRPr="00334F1E">
        <w:rPr>
          <w:b/>
        </w:rPr>
        <w:t xml:space="preserve">Θέμα </w:t>
      </w:r>
      <w:r>
        <w:rPr>
          <w:b/>
        </w:rPr>
        <w:t>26</w:t>
      </w:r>
    </w:p>
    <w:p w14:paraId="53A9B117" w14:textId="77777777" w:rsidR="001738EF" w:rsidRDefault="001738EF" w:rsidP="001738EF">
      <w:pPr>
        <w:spacing w:line="264" w:lineRule="auto"/>
        <w:ind w:left="-180"/>
        <w:jc w:val="both"/>
        <w:rPr>
          <w:b/>
        </w:rPr>
      </w:pPr>
    </w:p>
    <w:p w14:paraId="2FFB9D2B" w14:textId="51BA2F8E" w:rsidR="001738EF" w:rsidRDefault="001738EF" w:rsidP="001738EF">
      <w:r>
        <w:t xml:space="preserve">Σε ποιες περιπτώσεις είναι χρήσιμη η οικονομετρική και στατιστική ανάλυση. Αναπτύξτε φέρνοντας ένα παράδειγμα </w:t>
      </w:r>
    </w:p>
    <w:p w14:paraId="6EBF498D" w14:textId="3B75A6CD" w:rsidR="001738EF" w:rsidRDefault="001738EF" w:rsidP="001738EF"/>
    <w:p w14:paraId="2B8CD4A0" w14:textId="54C5C2E9" w:rsidR="001738EF" w:rsidRDefault="001738EF" w:rsidP="001738EF"/>
    <w:p w14:paraId="41D334BE" w14:textId="5E9B3D88" w:rsidR="001738EF" w:rsidRDefault="001738EF" w:rsidP="001738EF"/>
    <w:p w14:paraId="3EC4D915" w14:textId="1EAFCCD1" w:rsidR="001738EF" w:rsidRDefault="001738EF" w:rsidP="001738EF">
      <w:pPr>
        <w:spacing w:line="264" w:lineRule="auto"/>
        <w:ind w:left="-142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Θέμα 2</w:t>
      </w:r>
      <w:r>
        <w:rPr>
          <w:sz w:val="28"/>
          <w:szCs w:val="28"/>
        </w:rPr>
        <w:t>7</w:t>
      </w:r>
      <w:r>
        <w:rPr>
          <w:sz w:val="28"/>
          <w:szCs w:val="28"/>
        </w:rPr>
        <w:br/>
      </w:r>
    </w:p>
    <w:p w14:paraId="20C8D49F" w14:textId="77777777" w:rsidR="001738EF" w:rsidRDefault="001738EF" w:rsidP="001738EF">
      <w:pPr>
        <w:spacing w:line="264" w:lineRule="auto"/>
        <w:ind w:left="-142"/>
        <w:jc w:val="both"/>
      </w:pPr>
      <w:r>
        <w:t xml:space="preserve">Α) Τι γνωρίζετε για τον συντελεστή </w:t>
      </w:r>
      <w:r>
        <w:rPr>
          <w:lang w:val="en-US"/>
        </w:rPr>
        <w:t>beta</w:t>
      </w:r>
      <w:r w:rsidRPr="001738EF">
        <w:t xml:space="preserve"> </w:t>
      </w:r>
      <w:r>
        <w:t xml:space="preserve">ενός περιουσιακού στοιχείου. </w:t>
      </w:r>
    </w:p>
    <w:p w14:paraId="53919102" w14:textId="77777777" w:rsidR="001738EF" w:rsidRDefault="001738EF" w:rsidP="001738EF">
      <w:pPr>
        <w:spacing w:line="264" w:lineRule="auto"/>
        <w:ind w:left="-142"/>
        <w:jc w:val="both"/>
      </w:pPr>
    </w:p>
    <w:p w14:paraId="1274CAE1" w14:textId="77777777" w:rsidR="001738EF" w:rsidRDefault="001738EF" w:rsidP="001738EF">
      <w:pPr>
        <w:spacing w:line="264" w:lineRule="auto"/>
        <w:ind w:left="-142"/>
        <w:jc w:val="both"/>
      </w:pPr>
      <w:r>
        <w:t>Β) Από τον παρακάτω πίνακα (πίνακας 1) αναφέρετε ποιες μετοχές είναι επιθετικές και ποιες αμυντικές.</w:t>
      </w:r>
    </w:p>
    <w:p w14:paraId="2597C25A" w14:textId="77777777" w:rsidR="001738EF" w:rsidRDefault="001738EF" w:rsidP="001738EF">
      <w:pPr>
        <w:spacing w:line="264" w:lineRule="auto"/>
        <w:ind w:left="-142"/>
        <w:jc w:val="both"/>
      </w:pPr>
    </w:p>
    <w:p w14:paraId="4A07BB67" w14:textId="77777777" w:rsidR="001738EF" w:rsidRDefault="001738EF" w:rsidP="001738EF">
      <w:pPr>
        <w:spacing w:line="264" w:lineRule="auto"/>
        <w:ind w:left="-142"/>
        <w:jc w:val="both"/>
      </w:pPr>
      <w:r>
        <w:rPr>
          <w:b/>
          <w:bCs/>
          <w:u w:val="single"/>
        </w:rPr>
        <w:t>Πίνακας 1:</w:t>
      </w:r>
      <w:r>
        <w:rPr>
          <w:u w:val="single"/>
        </w:rPr>
        <w:t xml:space="preserve"> </w:t>
      </w:r>
      <w:r>
        <w:t xml:space="preserve">Οι συντελεστές </w:t>
      </w:r>
      <w:r>
        <w:rPr>
          <w:lang w:val="en-US"/>
        </w:rPr>
        <w:t>Beta</w:t>
      </w:r>
      <w:r w:rsidRPr="001738EF">
        <w:t xml:space="preserve"> </w:t>
      </w:r>
      <w:r>
        <w:t>των 25 μετοχών του FTSE σε σύγκριση με τον ΓΔΧΑ για την περίοδο 31/01/2013 – 30/12/2017 (μηνιαία στοιχεία)</w:t>
      </w:r>
    </w:p>
    <w:p w14:paraId="25AD4DEA" w14:textId="77777777" w:rsidR="001738EF" w:rsidRDefault="001738EF" w:rsidP="001738EF">
      <w:pPr>
        <w:spacing w:line="264" w:lineRule="auto"/>
        <w:ind w:left="-142"/>
        <w:jc w:val="both"/>
      </w:pPr>
    </w:p>
    <w:tbl>
      <w:tblPr>
        <w:tblStyle w:val="a3"/>
        <w:tblW w:w="6804" w:type="dxa"/>
        <w:tblLook w:val="04A0" w:firstRow="1" w:lastRow="0" w:firstColumn="1" w:lastColumn="0" w:noHBand="0" w:noVBand="1"/>
      </w:tblPr>
      <w:tblGrid>
        <w:gridCol w:w="3794"/>
        <w:gridCol w:w="845"/>
        <w:gridCol w:w="1060"/>
        <w:gridCol w:w="1105"/>
      </w:tblGrid>
      <w:tr w:rsidR="001738EF" w14:paraId="2E570A12" w14:textId="77777777" w:rsidTr="001738EF">
        <w:trPr>
          <w:trHeight w:val="10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C847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FD19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beta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6F7E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Statistic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beta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EC38" w14:textId="77777777" w:rsidR="001738EF" w:rsidRDefault="001738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t>R</w:t>
            </w:r>
            <w:r>
              <w:rPr>
                <w:vertAlign w:val="superscript"/>
              </w:rPr>
              <w:t>2</w:t>
            </w:r>
          </w:p>
        </w:tc>
      </w:tr>
      <w:tr w:rsidR="001738EF" w14:paraId="133D7EAF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A1354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AEGEAN AIRLINES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5F9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4181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3,887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D24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20,67%</w:t>
            </w:r>
          </w:p>
        </w:tc>
      </w:tr>
      <w:tr w:rsidR="001738EF" w14:paraId="09383A6B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1C795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ALPHA BANK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267F6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1,887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B111F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7,791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CBA6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51,14%</w:t>
            </w:r>
          </w:p>
        </w:tc>
      </w:tr>
      <w:tr w:rsidR="001738EF" w14:paraId="65E32BA7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5E07B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ΕΥΔΑΠ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9EB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0,873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25F4B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6,990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9C6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45,72%</w:t>
            </w:r>
          </w:p>
        </w:tc>
      </w:tr>
      <w:tr w:rsidR="001738EF" w14:paraId="2373392F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E98C2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ΤΡΑΠΕΖΑ ΠΕΙΡΑΙΩΣ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72450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9091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7,603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DD78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49,92%</w:t>
            </w:r>
          </w:p>
        </w:tc>
      </w:tr>
      <w:tr w:rsidR="001738EF" w14:paraId="0E55F35E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58BD4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COCA COLA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20FF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C6428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B270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19,87%</w:t>
            </w:r>
          </w:p>
        </w:tc>
      </w:tr>
      <w:tr w:rsidR="001738EF" w14:paraId="4241428E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6283B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EUROBANK ERGASIAS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130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2060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3E9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38,80%</w:t>
            </w:r>
          </w:p>
        </w:tc>
      </w:tr>
      <w:tr w:rsidR="001738EF" w14:paraId="322AEC6D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2CA8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FOLLI FOLLIE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5188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B14F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6,709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0FB71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43,70%</w:t>
            </w:r>
          </w:p>
        </w:tc>
      </w:tr>
      <w:tr w:rsidR="001738EF" w14:paraId="790BC657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CEB4A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GEK TERNA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B399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E440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11,947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4B47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71,10%</w:t>
            </w:r>
          </w:p>
        </w:tc>
      </w:tr>
      <w:tr w:rsidR="001738EF" w14:paraId="4153D4E1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4EFA4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SARANTIS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A401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9B10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3,678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B7853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18,91%</w:t>
            </w:r>
          </w:p>
        </w:tc>
      </w:tr>
      <w:tr w:rsidR="001738EF" w14:paraId="02D7B010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A10B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GRIVALIA PROPERTIES REIC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ECA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0,368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38B58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3,952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5B684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21,21%</w:t>
            </w:r>
          </w:p>
        </w:tc>
      </w:tr>
      <w:tr w:rsidR="001738EF" w14:paraId="317C91E4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9FB94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HELLENIC EXCHANGES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5253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1,032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1DEF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45D50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61,64%</w:t>
            </w:r>
          </w:p>
        </w:tc>
      </w:tr>
      <w:tr w:rsidR="001738EF" w14:paraId="267BA23A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5AAC7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ΕΛΠΕ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54AB0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F3D31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7,876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795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51,68%</w:t>
            </w:r>
          </w:p>
        </w:tc>
      </w:tr>
      <w:tr w:rsidR="001738EF" w14:paraId="3BD39551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B62CF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ΟΤΕ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A93EF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A3806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8,796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4364B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57,15%</w:t>
            </w:r>
          </w:p>
        </w:tc>
      </w:tr>
      <w:tr w:rsidR="001738EF" w14:paraId="7AEBFD80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1580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JUMBO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99783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0,669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61F0F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4B34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33,52%</w:t>
            </w:r>
          </w:p>
        </w:tc>
      </w:tr>
      <w:tr w:rsidR="001738EF" w14:paraId="7917A56B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9221E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LAMDA DEVELOPMENT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EB43D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54BB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7B216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38,45%</w:t>
            </w:r>
          </w:p>
        </w:tc>
      </w:tr>
      <w:tr w:rsidR="001738EF" w14:paraId="3AB5DC27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F940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MOTOR OIL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3DDFF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85FF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783B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42,25%</w:t>
            </w:r>
          </w:p>
        </w:tc>
      </w:tr>
      <w:tr w:rsidR="001738EF" w14:paraId="7C2CC280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B8C9F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MYTILINEOS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EA26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0,981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91FF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BF256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61,46%</w:t>
            </w:r>
          </w:p>
        </w:tc>
      </w:tr>
      <w:tr w:rsidR="001738EF" w14:paraId="04DFB735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EB2F7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ΕΘΝΙΚΗ ΤΡΑΠΕΖΑ ΤΗΣ ΕΛΛΑΔΟΣ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4A159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2,161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E913A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7,325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12E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48,05%</w:t>
            </w:r>
          </w:p>
        </w:tc>
      </w:tr>
      <w:tr w:rsidR="001738EF" w14:paraId="706E01B2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421D5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ΟΠΑΠ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96FD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0,712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71AA3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6,066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5B7EE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38,82%</w:t>
            </w:r>
          </w:p>
        </w:tc>
      </w:tr>
      <w:tr w:rsidR="001738EF" w14:paraId="6164D8B3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FA82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ΟΛΠ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15F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0,752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E265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5,686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1772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35,79%</w:t>
            </w:r>
          </w:p>
        </w:tc>
      </w:tr>
      <w:tr w:rsidR="001738EF" w14:paraId="7783B7DC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A3A71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ΔΕΗ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10512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1,352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C85D8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5E2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60,32%</w:t>
            </w:r>
          </w:p>
        </w:tc>
      </w:tr>
      <w:tr w:rsidR="001738EF" w14:paraId="58569832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16DE2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TERNA ENERGY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12D6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1,154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87C86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8,560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DF6EC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55,82%</w:t>
            </w:r>
          </w:p>
        </w:tc>
      </w:tr>
      <w:tr w:rsidR="001738EF" w14:paraId="1E4187D3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958D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TITAN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AFE7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0,650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0F691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02A0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46,07%</w:t>
            </w:r>
          </w:p>
        </w:tc>
      </w:tr>
      <w:tr w:rsidR="001738EF" w14:paraId="086E5859" w14:textId="77777777" w:rsidTr="001738EF">
        <w:trPr>
          <w:trHeight w:val="1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45902" w14:textId="77777777" w:rsidR="001738EF" w:rsidRDefault="001738E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ΓΕΝΙΚΟΣ ΔΕΙΚΤΗΣ ΧΡΗΜΑΤ.ΑΘΗΝΩΝ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773C5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148CD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29A17" w14:textId="77777777" w:rsidR="001738EF" w:rsidRDefault="001738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</w:tbl>
    <w:p w14:paraId="0C4008B4" w14:textId="77777777" w:rsidR="001738EF" w:rsidRDefault="001738EF" w:rsidP="001738EF">
      <w:pPr>
        <w:spacing w:line="264" w:lineRule="auto"/>
        <w:ind w:left="-142"/>
        <w:jc w:val="both"/>
      </w:pPr>
    </w:p>
    <w:p w14:paraId="0F9AA7FA" w14:textId="77777777" w:rsidR="001738EF" w:rsidRDefault="001738EF" w:rsidP="001738EF">
      <w:pPr>
        <w:spacing w:line="264" w:lineRule="auto"/>
        <w:ind w:left="-142"/>
        <w:jc w:val="both"/>
      </w:pPr>
      <w:r>
        <w:t xml:space="preserve">Γ) Από τις μετοχές του Πίνακα 1 επιλέξτε τρεις (3) και σχηματίστε ένα χαρτοφυλάκιο με συνολικό </w:t>
      </w:r>
      <w:r>
        <w:rPr>
          <w:lang w:val="en-US"/>
        </w:rPr>
        <w:t>Beta</w:t>
      </w:r>
      <w:r w:rsidRPr="001738EF">
        <w:t xml:space="preserve"> </w:t>
      </w:r>
      <w:r>
        <w:t xml:space="preserve">1,2 ένα χαρτοφυλάκιο με </w:t>
      </w:r>
      <w:r>
        <w:rPr>
          <w:lang w:val="en-US"/>
        </w:rPr>
        <w:t>Beta</w:t>
      </w:r>
      <w:r>
        <w:t xml:space="preserve"> 0,75 και ένα με </w:t>
      </w:r>
      <w:r>
        <w:rPr>
          <w:lang w:val="en-US"/>
        </w:rPr>
        <w:t>Beta</w:t>
      </w:r>
      <w:r>
        <w:t xml:space="preserve"> 1.</w:t>
      </w:r>
    </w:p>
    <w:p w14:paraId="3B2AD958" w14:textId="77777777" w:rsidR="001738EF" w:rsidRDefault="001738EF" w:rsidP="001738EF">
      <w:pPr>
        <w:spacing w:line="264" w:lineRule="auto"/>
        <w:ind w:left="-142"/>
        <w:jc w:val="both"/>
      </w:pPr>
    </w:p>
    <w:p w14:paraId="75E0CF4B" w14:textId="77777777" w:rsidR="001738EF" w:rsidRDefault="001738EF" w:rsidP="001738EF">
      <w:pPr>
        <w:spacing w:line="264" w:lineRule="auto"/>
        <w:ind w:left="-142"/>
        <w:jc w:val="both"/>
      </w:pPr>
      <w:r>
        <w:t xml:space="preserve">Δ) Υπάρχουν περιουσιακά στοιχεία (επενδύσεις) με αρνητικό </w:t>
      </w:r>
      <w:r>
        <w:rPr>
          <w:lang w:val="en-US"/>
        </w:rPr>
        <w:t>Beta</w:t>
      </w:r>
      <w:r>
        <w:t>; Αναφέρατε.</w:t>
      </w:r>
      <w:r>
        <w:br/>
      </w:r>
    </w:p>
    <w:p w14:paraId="4C7D77A4" w14:textId="77777777" w:rsidR="001738EF" w:rsidRDefault="001738EF" w:rsidP="001738EF">
      <w:pPr>
        <w:spacing w:line="264" w:lineRule="auto"/>
        <w:ind w:left="-142"/>
        <w:jc w:val="both"/>
      </w:pPr>
      <w:r>
        <w:t xml:space="preserve">Ε) </w:t>
      </w:r>
      <w:r>
        <w:rPr>
          <w:rFonts w:eastAsia="Calibri"/>
          <w:lang w:eastAsia="en-US"/>
        </w:rPr>
        <w:t xml:space="preserve">Τι χρησιμότητα έχει για τους επενδυτές, τους συμβούλους αλλά και τους διαχειριστές χαρτοφυλακίων η γνώση του συντελεστή </w:t>
      </w:r>
      <w:r>
        <w:rPr>
          <w:rFonts w:eastAsia="Calibri"/>
          <w:lang w:val="en-US" w:eastAsia="en-US"/>
        </w:rPr>
        <w:t>Beta</w:t>
      </w:r>
      <w:r w:rsidRPr="001738E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διάφορων περιουσιακών στοιχείων; </w:t>
      </w:r>
    </w:p>
    <w:p w14:paraId="0463B11D" w14:textId="77777777" w:rsidR="001738EF" w:rsidRDefault="001738EF" w:rsidP="001738EF"/>
    <w:p w14:paraId="7F8E538A" w14:textId="77777777" w:rsidR="001738EF" w:rsidRDefault="001738EF" w:rsidP="001738EF"/>
    <w:p w14:paraId="04946273" w14:textId="77777777" w:rsidR="001738EF" w:rsidRDefault="001738EF" w:rsidP="001738EF"/>
    <w:p w14:paraId="7D694DF7" w14:textId="77777777" w:rsidR="001738EF" w:rsidRPr="00C371DC" w:rsidRDefault="001738EF" w:rsidP="001738EF">
      <w:pPr>
        <w:spacing w:line="264" w:lineRule="auto"/>
        <w:ind w:left="-180"/>
        <w:jc w:val="both"/>
      </w:pPr>
    </w:p>
    <w:sectPr w:rsidR="001738EF" w:rsidRPr="00C37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0428E"/>
    <w:multiLevelType w:val="hybridMultilevel"/>
    <w:tmpl w:val="A3846920"/>
    <w:lvl w:ilvl="0" w:tplc="4EF2E7BC">
      <w:start w:val="1"/>
      <w:numFmt w:val="upp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EB34DF2"/>
    <w:multiLevelType w:val="hybridMultilevel"/>
    <w:tmpl w:val="93AA85CA"/>
    <w:lvl w:ilvl="0" w:tplc="140A0114">
      <w:start w:val="1"/>
      <w:numFmt w:val="decimal"/>
      <w:lvlText w:val="%1)"/>
      <w:lvlJc w:val="left"/>
      <w:pPr>
        <w:tabs>
          <w:tab w:val="num" w:pos="278"/>
        </w:tabs>
        <w:ind w:left="278" w:hanging="4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33"/>
    <w:rsid w:val="001738EF"/>
    <w:rsid w:val="00430B4B"/>
    <w:rsid w:val="00633733"/>
    <w:rsid w:val="00766758"/>
    <w:rsid w:val="007C0359"/>
    <w:rsid w:val="0085571E"/>
    <w:rsid w:val="009A5052"/>
    <w:rsid w:val="00AA10EC"/>
    <w:rsid w:val="00C3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4FC0041"/>
  <w15:chartTrackingRefBased/>
  <w15:docId w15:val="{87CA4817-7DB4-4DC0-8F30-334FBD77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B4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package" Target="embeddings/Microsoft_PowerPoint_Slide1.sldx"/><Relationship Id="rId84" Type="http://schemas.openxmlformats.org/officeDocument/2006/relationships/package" Target="embeddings/Microsoft_PowerPoint_Slide5.sldx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package" Target="embeddings/Microsoft_PowerPoint_Slide.sldx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package" Target="embeddings/Microsoft_PowerPoint_Slide4.sldx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4.emf"/><Relationship Id="rId80" Type="http://schemas.openxmlformats.org/officeDocument/2006/relationships/package" Target="embeddings/Microsoft_PowerPoint_Slide3.sldx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image" Target="media/image35.wmf"/><Relationship Id="rId78" Type="http://schemas.openxmlformats.org/officeDocument/2006/relationships/package" Target="embeddings/Microsoft_PowerPoint_Slide2.sldx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2136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Solwn Andronis</dc:creator>
  <cp:keywords/>
  <dc:description/>
  <cp:lastModifiedBy>Solwn And</cp:lastModifiedBy>
  <cp:revision>6</cp:revision>
  <dcterms:created xsi:type="dcterms:W3CDTF">2017-10-09T16:21:00Z</dcterms:created>
  <dcterms:modified xsi:type="dcterms:W3CDTF">2020-02-04T10:17:00Z</dcterms:modified>
</cp:coreProperties>
</file>