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FFD1" w14:textId="20FB89E9" w:rsidR="00D02430" w:rsidRDefault="0019699A" w:rsidP="0019699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ΛΙΣΤΑ ΔΙΑΘΕΣΙΜΩΝ ΕΡΓΑΣΙΩΝ ΕΞΑΜΗΝΟΥ</w:t>
      </w:r>
    </w:p>
    <w:p w14:paraId="6118C408" w14:textId="7E686EF2" w:rsidR="0019699A" w:rsidRDefault="00046C05" w:rsidP="0019699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Μάθημα: Δημόσιες Συμβάσεις, Ανταγωνισμός &amp; Οικονομική Ανάπτυξη</w:t>
      </w:r>
    </w:p>
    <w:p w14:paraId="3737E32A" w14:textId="77777777" w:rsidR="00046C05" w:rsidRDefault="00046C05" w:rsidP="0019699A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192EADF" w14:textId="5692A9F4" w:rsidR="00877C87" w:rsidRPr="003F0491" w:rsidRDefault="00BD1597" w:rsidP="00877C8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F0491">
        <w:rPr>
          <w:rFonts w:ascii="Calibri" w:hAnsi="Calibri" w:cs="Calibri"/>
          <w:b/>
          <w:bCs/>
          <w:sz w:val="24"/>
          <w:szCs w:val="24"/>
        </w:rPr>
        <w:t>Η έννοια του οικονομικού φορέα στις δημόσιες διαγωνιστικές διαδικασίες</w:t>
      </w:r>
      <w:r w:rsidR="005B4FF9" w:rsidRPr="003F0491">
        <w:rPr>
          <w:rFonts w:ascii="Calibri" w:hAnsi="Calibri" w:cs="Calibri"/>
          <w:b/>
          <w:bCs/>
          <w:sz w:val="24"/>
          <w:szCs w:val="24"/>
        </w:rPr>
        <w:t>.</w:t>
      </w:r>
    </w:p>
    <w:p w14:paraId="2A4A0161" w14:textId="28E6CF59" w:rsidR="00877C87" w:rsidRDefault="00877C87" w:rsidP="00877C8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77C87"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FE4B0B">
        <w:rPr>
          <w:rFonts w:ascii="Calibri" w:hAnsi="Calibri" w:cs="Calibri"/>
          <w:sz w:val="24"/>
          <w:szCs w:val="24"/>
        </w:rPr>
        <w:t xml:space="preserve">Ποιοι οικονομικοί φορείς μπορούν να λάβουν μέρος σε δημόσιες διαδικασίες ανάθεσης (νομικά, φυσικά πρόσωπα, ενώσεις κλπ.), </w:t>
      </w:r>
      <w:r w:rsidR="00EF7B41">
        <w:rPr>
          <w:rFonts w:ascii="Calibri" w:hAnsi="Calibri" w:cs="Calibri"/>
          <w:sz w:val="24"/>
          <w:szCs w:val="24"/>
        </w:rPr>
        <w:t>εννοιολογικές διακρίσεις ανάλογα με το εκάστοτε διαγνωστικό στάδιο και χαρακτηριστικά</w:t>
      </w:r>
      <w:r w:rsidR="00966BCA">
        <w:rPr>
          <w:rFonts w:ascii="Calibri" w:hAnsi="Calibri" w:cs="Calibri"/>
          <w:sz w:val="24"/>
          <w:szCs w:val="24"/>
        </w:rPr>
        <w:t xml:space="preserve"> τους (προσφέρων, υποψήφιος, ανάδοχος, κλπ.), προέλευση των οικονομικών φορέων (κράτη μέλη ΕΕ, </w:t>
      </w:r>
      <w:r w:rsidR="00BE0832">
        <w:rPr>
          <w:rFonts w:ascii="Calibri" w:hAnsi="Calibri" w:cs="Calibri"/>
          <w:sz w:val="24"/>
          <w:szCs w:val="24"/>
        </w:rPr>
        <w:t>τρίτα κράτη, κλπ.</w:t>
      </w:r>
      <w:r w:rsidR="00966BCA">
        <w:rPr>
          <w:rFonts w:ascii="Calibri" w:hAnsi="Calibri" w:cs="Calibri"/>
          <w:sz w:val="24"/>
          <w:szCs w:val="24"/>
        </w:rPr>
        <w:t>)</w:t>
      </w:r>
      <w:r w:rsidR="003D1581">
        <w:rPr>
          <w:rFonts w:ascii="Calibri" w:hAnsi="Calibri" w:cs="Calibri"/>
          <w:sz w:val="24"/>
          <w:szCs w:val="24"/>
        </w:rPr>
        <w:t>, ΜΜΕ</w:t>
      </w:r>
      <w:r w:rsidR="00515695">
        <w:rPr>
          <w:rFonts w:ascii="Calibri" w:hAnsi="Calibri" w:cs="Calibri"/>
          <w:sz w:val="24"/>
          <w:szCs w:val="24"/>
        </w:rPr>
        <w:t>.</w:t>
      </w:r>
    </w:p>
    <w:p w14:paraId="702B18FD" w14:textId="77777777" w:rsidR="00515695" w:rsidRPr="00877C87" w:rsidRDefault="00515695" w:rsidP="00877C8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8D93DA7" w14:textId="5280AE4C" w:rsidR="00DA0243" w:rsidRPr="003F0491" w:rsidRDefault="004C4615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F0491">
        <w:rPr>
          <w:rFonts w:ascii="Calibri" w:hAnsi="Calibri" w:cs="Calibri"/>
          <w:b/>
          <w:bCs/>
          <w:sz w:val="24"/>
          <w:szCs w:val="24"/>
        </w:rPr>
        <w:t xml:space="preserve">Βασικές και θεμελιώδεις αρχές </w:t>
      </w:r>
      <w:r w:rsidR="00AF4EA6" w:rsidRPr="003F0491">
        <w:rPr>
          <w:rFonts w:ascii="Calibri" w:hAnsi="Calibri" w:cs="Calibri"/>
          <w:b/>
          <w:bCs/>
          <w:sz w:val="24"/>
          <w:szCs w:val="24"/>
        </w:rPr>
        <w:t xml:space="preserve">και </w:t>
      </w:r>
      <w:r w:rsidR="0065011B" w:rsidRPr="003F0491">
        <w:rPr>
          <w:rFonts w:ascii="Calibri" w:hAnsi="Calibri" w:cs="Calibri"/>
          <w:b/>
          <w:bCs/>
          <w:sz w:val="24"/>
          <w:szCs w:val="24"/>
        </w:rPr>
        <w:t xml:space="preserve">πρακτικές εφαρμογές τους προς ενίσχυση του ανταγωνισμού κατά τη διεξαγωγή </w:t>
      </w:r>
      <w:r w:rsidR="00DA0243" w:rsidRPr="003F0491">
        <w:rPr>
          <w:rFonts w:ascii="Calibri" w:hAnsi="Calibri" w:cs="Calibri"/>
          <w:b/>
          <w:bCs/>
          <w:sz w:val="24"/>
          <w:szCs w:val="24"/>
        </w:rPr>
        <w:t>δημόσιων διαγωνισμών.</w:t>
      </w:r>
    </w:p>
    <w:p w14:paraId="561F012D" w14:textId="73E83203" w:rsidR="00515695" w:rsidRDefault="00515695" w:rsidP="0051569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692988">
        <w:rPr>
          <w:rFonts w:ascii="Calibri" w:hAnsi="Calibri" w:cs="Calibri"/>
          <w:sz w:val="24"/>
          <w:szCs w:val="24"/>
        </w:rPr>
        <w:t xml:space="preserve">Αρχή διαφάνειας, αρχή αμεροληψίας, αρχή ίσης μεταχείρισης κλπ., </w:t>
      </w:r>
      <w:r w:rsidR="008F1DF2">
        <w:rPr>
          <w:rFonts w:ascii="Calibri" w:hAnsi="Calibri" w:cs="Calibri"/>
          <w:sz w:val="24"/>
          <w:szCs w:val="24"/>
        </w:rPr>
        <w:t xml:space="preserve">διαδικασία υπολογισμού </w:t>
      </w:r>
      <w:r w:rsidR="00533103">
        <w:rPr>
          <w:rFonts w:ascii="Calibri" w:hAnsi="Calibri" w:cs="Calibri"/>
          <w:sz w:val="24"/>
          <w:szCs w:val="24"/>
        </w:rPr>
        <w:t xml:space="preserve">της αξίας μιας σύμβασης, τμηματοποίηση, </w:t>
      </w:r>
      <w:r w:rsidR="00331397">
        <w:rPr>
          <w:rFonts w:ascii="Calibri" w:hAnsi="Calibri" w:cs="Calibri"/>
          <w:sz w:val="24"/>
          <w:szCs w:val="24"/>
        </w:rPr>
        <w:t>τρόποι κατάρτισης των όρων της σύμβασης</w:t>
      </w:r>
      <w:r w:rsidR="00331397" w:rsidRPr="00331397">
        <w:rPr>
          <w:rFonts w:ascii="Calibri" w:hAnsi="Calibri" w:cs="Calibri"/>
          <w:sz w:val="24"/>
          <w:szCs w:val="24"/>
        </w:rPr>
        <w:t xml:space="preserve"> </w:t>
      </w:r>
      <w:r w:rsidR="00331397">
        <w:rPr>
          <w:rFonts w:ascii="Calibri" w:hAnsi="Calibri" w:cs="Calibri"/>
          <w:sz w:val="24"/>
          <w:szCs w:val="24"/>
        </w:rPr>
        <w:t>και βασικές στοχεύσεις,</w:t>
      </w:r>
      <w:r w:rsidR="006859F8">
        <w:rPr>
          <w:rFonts w:ascii="Calibri" w:hAnsi="Calibri" w:cs="Calibri"/>
          <w:sz w:val="24"/>
          <w:szCs w:val="24"/>
        </w:rPr>
        <w:t xml:space="preserve"> δικαιολογημένες παρεκκλίσεις</w:t>
      </w:r>
      <w:r w:rsidR="001D47C5">
        <w:rPr>
          <w:rFonts w:ascii="Calibri" w:hAnsi="Calibri" w:cs="Calibri"/>
          <w:sz w:val="24"/>
          <w:szCs w:val="24"/>
        </w:rPr>
        <w:t xml:space="preserve">, εξασφάλιση αμερόληπτης και ισότιμης επικοινωνίας, τήρηση εχεμύθειας, </w:t>
      </w:r>
      <w:r w:rsidR="00516C77">
        <w:rPr>
          <w:rFonts w:ascii="Calibri" w:hAnsi="Calibri" w:cs="Calibri"/>
          <w:sz w:val="24"/>
          <w:szCs w:val="24"/>
        </w:rPr>
        <w:t>σύγκρουση συμφερόντων.</w:t>
      </w:r>
    </w:p>
    <w:p w14:paraId="2613085D" w14:textId="77777777" w:rsidR="00516C77" w:rsidRPr="00515695" w:rsidRDefault="00516C77" w:rsidP="0051569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229855" w14:textId="79D68C69" w:rsidR="00DA0243" w:rsidRPr="003F0491" w:rsidRDefault="006C4E99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F0491">
        <w:rPr>
          <w:rFonts w:ascii="Calibri" w:hAnsi="Calibri" w:cs="Calibri"/>
          <w:b/>
          <w:bCs/>
          <w:sz w:val="24"/>
          <w:szCs w:val="24"/>
        </w:rPr>
        <w:t xml:space="preserve">Μορφές από κοινού συμμετοχής σε δημόσιες διαγωνιστικές διαδικασίες και </w:t>
      </w:r>
      <w:r w:rsidR="00F914CC" w:rsidRPr="003F0491">
        <w:rPr>
          <w:rFonts w:ascii="Calibri" w:hAnsi="Calibri" w:cs="Calibri"/>
          <w:b/>
          <w:bCs/>
          <w:sz w:val="24"/>
          <w:szCs w:val="24"/>
        </w:rPr>
        <w:t xml:space="preserve">τρόποι ενίσχυσης </w:t>
      </w:r>
      <w:r w:rsidR="004B608D" w:rsidRPr="003F0491">
        <w:rPr>
          <w:rFonts w:ascii="Calibri" w:hAnsi="Calibri" w:cs="Calibri"/>
          <w:b/>
          <w:bCs/>
          <w:sz w:val="24"/>
          <w:szCs w:val="24"/>
        </w:rPr>
        <w:t>της ανάπτυξης μεγαλύτερου ανταγωνισμού μεταξύ των οικονομικών φορέων.</w:t>
      </w:r>
    </w:p>
    <w:p w14:paraId="53CC241F" w14:textId="600F87F3" w:rsidR="00516C77" w:rsidRDefault="00516C77" w:rsidP="00516C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D965AD">
        <w:rPr>
          <w:rFonts w:ascii="Calibri" w:hAnsi="Calibri" w:cs="Calibri"/>
          <w:sz w:val="24"/>
          <w:szCs w:val="24"/>
        </w:rPr>
        <w:t>Ένωση προσώπων, κοινοπραξία, δάνεια εμπειρία, υπεργολαβία. Σχέσεις, διαφορές</w:t>
      </w:r>
      <w:r w:rsidR="00344051">
        <w:rPr>
          <w:rFonts w:ascii="Calibri" w:hAnsi="Calibri" w:cs="Calibri"/>
          <w:sz w:val="24"/>
          <w:szCs w:val="24"/>
        </w:rPr>
        <w:t xml:space="preserve"> και ζητούμενα της δυνατότητας κοινής συμμετοχής σε διαγωνιστικές </w:t>
      </w:r>
      <w:r w:rsidR="00DA578B">
        <w:rPr>
          <w:rFonts w:ascii="Calibri" w:hAnsi="Calibri" w:cs="Calibri"/>
          <w:sz w:val="24"/>
          <w:szCs w:val="24"/>
        </w:rPr>
        <w:t>διαδικασίες, ενίσχυση της ανταγωνιστικότητας των ΜΜΕ</w:t>
      </w:r>
      <w:r w:rsidR="00344051">
        <w:rPr>
          <w:rFonts w:ascii="Calibri" w:hAnsi="Calibri" w:cs="Calibri"/>
          <w:sz w:val="24"/>
          <w:szCs w:val="24"/>
        </w:rPr>
        <w:t>.</w:t>
      </w:r>
    </w:p>
    <w:p w14:paraId="698BD0D1" w14:textId="77777777" w:rsidR="00DA578B" w:rsidRPr="00516C77" w:rsidRDefault="00DA578B" w:rsidP="00516C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96BCB79" w14:textId="6881AE0A" w:rsidR="004B608D" w:rsidRPr="003F0491" w:rsidRDefault="00AF7039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F0491">
        <w:rPr>
          <w:rFonts w:ascii="Calibri" w:hAnsi="Calibri" w:cs="Calibri"/>
          <w:b/>
          <w:bCs/>
          <w:sz w:val="24"/>
          <w:szCs w:val="24"/>
        </w:rPr>
        <w:t>Ανοιχτές, κλειστές και εξαιρετικές διαδικασίες ανάθεσης δημοσίων συμβάσεων.</w:t>
      </w:r>
    </w:p>
    <w:p w14:paraId="524CA496" w14:textId="1680C26A" w:rsidR="00DA578B" w:rsidRDefault="00DA578B" w:rsidP="00DA578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A578B"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ED2565">
        <w:rPr>
          <w:rFonts w:ascii="Calibri" w:hAnsi="Calibri" w:cs="Calibri"/>
          <w:sz w:val="24"/>
          <w:szCs w:val="24"/>
        </w:rPr>
        <w:t>Φύση και χ</w:t>
      </w:r>
      <w:r w:rsidR="00F04070">
        <w:rPr>
          <w:rFonts w:ascii="Calibri" w:hAnsi="Calibri" w:cs="Calibri"/>
          <w:sz w:val="24"/>
          <w:szCs w:val="24"/>
        </w:rPr>
        <w:t xml:space="preserve">αρακτηριστικά </w:t>
      </w:r>
      <w:r w:rsidR="00ED2565">
        <w:rPr>
          <w:rFonts w:ascii="Calibri" w:hAnsi="Calibri" w:cs="Calibri"/>
          <w:sz w:val="24"/>
          <w:szCs w:val="24"/>
        </w:rPr>
        <w:t xml:space="preserve">ανοιχτών και κλειστών διαδικασιών ανάθεσης, </w:t>
      </w:r>
      <w:r w:rsidR="00DD74C5">
        <w:rPr>
          <w:rFonts w:ascii="Calibri" w:hAnsi="Calibri" w:cs="Calibri"/>
          <w:sz w:val="24"/>
          <w:szCs w:val="24"/>
        </w:rPr>
        <w:t>προϋποθέσεις προσφυγής σε εξαιρετικές διαδικασίες, δικαιολογημένοι περιορισμοί του ανταγωνισμού</w:t>
      </w:r>
      <w:r w:rsidR="00065D43">
        <w:rPr>
          <w:rFonts w:ascii="Calibri" w:hAnsi="Calibri" w:cs="Calibri"/>
          <w:sz w:val="24"/>
          <w:szCs w:val="24"/>
        </w:rPr>
        <w:t>, ενωσιακά όρια χαρακτηρισμού μιας σύμβασης</w:t>
      </w:r>
      <w:r w:rsidR="007D2390">
        <w:rPr>
          <w:rFonts w:ascii="Calibri" w:hAnsi="Calibri" w:cs="Calibri"/>
          <w:sz w:val="24"/>
          <w:szCs w:val="24"/>
        </w:rPr>
        <w:t>.</w:t>
      </w:r>
    </w:p>
    <w:p w14:paraId="2CEAD25D" w14:textId="77777777" w:rsidR="007D2390" w:rsidRPr="00DA578B" w:rsidRDefault="007D2390" w:rsidP="00DA578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6E76B9" w14:textId="77777777" w:rsidR="00131235" w:rsidRPr="00131235" w:rsidRDefault="00131235" w:rsidP="00DC6E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31235">
        <w:rPr>
          <w:rFonts w:ascii="Calibri" w:hAnsi="Calibri" w:cs="Calibri"/>
          <w:b/>
          <w:bCs/>
          <w:sz w:val="24"/>
          <w:szCs w:val="24"/>
        </w:rPr>
        <w:lastRenderedPageBreak/>
        <w:t>Η εισαγωγή ποιοτικών στοιχείων αξιολόγησης μιας προσφοράς (Κόστος Κύκλου Ζωής, περιβαλλοντικά στοιχεία, κλπ.), όταν κριτήριο ανάθεσης είναι η βέλτιστη σχέση ποιότητας τιμής.</w:t>
      </w:r>
    </w:p>
    <w:p w14:paraId="7489BB8C" w14:textId="796EC22C" w:rsidR="00131235" w:rsidRDefault="00131235" w:rsidP="001312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31235">
        <w:rPr>
          <w:rFonts w:ascii="Calibri" w:hAnsi="Calibri" w:cs="Calibri"/>
          <w:b/>
          <w:bCs/>
          <w:sz w:val="24"/>
          <w:szCs w:val="24"/>
          <w:u w:val="single"/>
        </w:rPr>
        <w:t>Ανάλυση</w:t>
      </w:r>
      <w:r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DC6E6E">
        <w:rPr>
          <w:rFonts w:ascii="Calibri" w:hAnsi="Calibri" w:cs="Calibri"/>
          <w:sz w:val="24"/>
          <w:szCs w:val="24"/>
        </w:rPr>
        <w:t xml:space="preserve">Η διαμόρφωση του κριτηρίου </w:t>
      </w:r>
      <w:r w:rsidR="000E3CFB">
        <w:rPr>
          <w:rFonts w:ascii="Calibri" w:hAnsi="Calibri" w:cs="Calibri"/>
          <w:sz w:val="24"/>
          <w:szCs w:val="24"/>
        </w:rPr>
        <w:t>ανάθεσης</w:t>
      </w:r>
      <w:r w:rsidR="00DC6E6E">
        <w:rPr>
          <w:rFonts w:ascii="Calibri" w:hAnsi="Calibri" w:cs="Calibri"/>
          <w:sz w:val="24"/>
          <w:szCs w:val="24"/>
        </w:rPr>
        <w:t xml:space="preserve"> με βάση τη βέλτιστη σχέση ποιότητας-τιμής, όταν λαμβάνονται υπόψη, αξιολογούνται και βαθμολογούνται περιβαλλοντικά στοιχεία (</w:t>
      </w:r>
      <w:r w:rsidR="004139AF">
        <w:rPr>
          <w:rFonts w:ascii="Calibri" w:hAnsi="Calibri" w:cs="Calibri"/>
          <w:sz w:val="24"/>
          <w:szCs w:val="24"/>
        </w:rPr>
        <w:t>περιβαλλοντικό</w:t>
      </w:r>
      <w:r w:rsidR="00DC6E6E">
        <w:rPr>
          <w:rFonts w:ascii="Calibri" w:hAnsi="Calibri" w:cs="Calibri"/>
          <w:sz w:val="24"/>
          <w:szCs w:val="24"/>
        </w:rPr>
        <w:t xml:space="preserve"> αποτύπωμα, </w:t>
      </w:r>
      <w:r w:rsidR="004139AF">
        <w:rPr>
          <w:rFonts w:ascii="Calibri" w:hAnsi="Calibri" w:cs="Calibri"/>
          <w:sz w:val="24"/>
          <w:szCs w:val="24"/>
        </w:rPr>
        <w:t>ενεργειακή αποδοτικότητα</w:t>
      </w:r>
      <w:r w:rsidR="0043654E">
        <w:rPr>
          <w:rFonts w:ascii="Calibri" w:hAnsi="Calibri" w:cs="Calibri"/>
          <w:sz w:val="24"/>
          <w:szCs w:val="24"/>
        </w:rPr>
        <w:t xml:space="preserve">, </w:t>
      </w:r>
      <w:r w:rsidR="00AD4495">
        <w:rPr>
          <w:rFonts w:ascii="Calibri" w:hAnsi="Calibri" w:cs="Calibri"/>
          <w:sz w:val="24"/>
          <w:szCs w:val="24"/>
        </w:rPr>
        <w:t>χρήση ανακυκλώσιμων υλικών, κατανάλωση ενέργειας</w:t>
      </w:r>
      <w:r w:rsidR="009E52C5">
        <w:rPr>
          <w:rFonts w:ascii="Calibri" w:hAnsi="Calibri" w:cs="Calibri"/>
          <w:sz w:val="24"/>
          <w:szCs w:val="24"/>
        </w:rPr>
        <w:t>, κλπ.</w:t>
      </w:r>
      <w:r w:rsidR="00DC6E6E">
        <w:rPr>
          <w:rFonts w:ascii="Calibri" w:hAnsi="Calibri" w:cs="Calibri"/>
          <w:sz w:val="24"/>
          <w:szCs w:val="24"/>
        </w:rPr>
        <w:t>)</w:t>
      </w:r>
      <w:r w:rsidR="009E52C5">
        <w:rPr>
          <w:rFonts w:ascii="Calibri" w:hAnsi="Calibri" w:cs="Calibri"/>
          <w:sz w:val="24"/>
          <w:szCs w:val="24"/>
        </w:rPr>
        <w:t xml:space="preserve"> ή/και το Κόστος Κύκλου Ζωής (ΚΚΖ).</w:t>
      </w:r>
    </w:p>
    <w:p w14:paraId="4C3BA830" w14:textId="77777777" w:rsidR="00131235" w:rsidRPr="00131235" w:rsidRDefault="00131235" w:rsidP="001312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89BB14" w14:textId="6E314DFC" w:rsidR="00F7561C" w:rsidRPr="003F0491" w:rsidRDefault="00F7561C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F0491">
        <w:rPr>
          <w:rFonts w:ascii="Calibri" w:hAnsi="Calibri" w:cs="Calibri"/>
          <w:b/>
          <w:bCs/>
          <w:sz w:val="24"/>
          <w:szCs w:val="24"/>
        </w:rPr>
        <w:t>Αντιανταγωνιστικές πρακτικές</w:t>
      </w:r>
      <w:r w:rsidR="002075BD" w:rsidRPr="003F0491">
        <w:rPr>
          <w:rFonts w:ascii="Calibri" w:hAnsi="Calibri" w:cs="Calibri"/>
          <w:b/>
          <w:bCs/>
          <w:sz w:val="24"/>
          <w:szCs w:val="24"/>
        </w:rPr>
        <w:t xml:space="preserve"> οικονομικών φορέων</w:t>
      </w:r>
      <w:r w:rsidR="00E03095" w:rsidRPr="003F049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3F0491">
        <w:rPr>
          <w:rFonts w:ascii="Calibri" w:hAnsi="Calibri" w:cs="Calibri"/>
          <w:b/>
          <w:bCs/>
          <w:sz w:val="24"/>
          <w:szCs w:val="24"/>
        </w:rPr>
        <w:t xml:space="preserve">μορφές </w:t>
      </w:r>
      <w:r w:rsidR="00DF48E7" w:rsidRPr="003F0491">
        <w:rPr>
          <w:rFonts w:ascii="Calibri" w:hAnsi="Calibri" w:cs="Calibri"/>
          <w:b/>
          <w:bCs/>
          <w:sz w:val="24"/>
          <w:szCs w:val="24"/>
        </w:rPr>
        <w:t xml:space="preserve">αθέμιτης στρέβλωσης του ανταγωνισμού </w:t>
      </w:r>
      <w:r w:rsidR="00ED3E52" w:rsidRPr="003F0491">
        <w:rPr>
          <w:rFonts w:ascii="Calibri" w:hAnsi="Calibri" w:cs="Calibri"/>
          <w:b/>
          <w:bCs/>
          <w:sz w:val="24"/>
          <w:szCs w:val="24"/>
        </w:rPr>
        <w:t xml:space="preserve">σε δημόσιες διαδικασίες ανάθεσης </w:t>
      </w:r>
      <w:r w:rsidR="00DF48E7" w:rsidRPr="003F0491">
        <w:rPr>
          <w:rFonts w:ascii="Calibri" w:hAnsi="Calibri" w:cs="Calibri"/>
          <w:b/>
          <w:bCs/>
          <w:sz w:val="24"/>
          <w:szCs w:val="24"/>
        </w:rPr>
        <w:t>και μέσα αντιμετώπισής τους.</w:t>
      </w:r>
    </w:p>
    <w:p w14:paraId="3C2A5DCA" w14:textId="2B9DE940" w:rsidR="007D2390" w:rsidRDefault="007D2390" w:rsidP="007D239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165624">
        <w:rPr>
          <w:rFonts w:ascii="Calibri" w:hAnsi="Calibri" w:cs="Calibri"/>
          <w:sz w:val="24"/>
          <w:szCs w:val="24"/>
        </w:rPr>
        <w:t xml:space="preserve">Θεσμικά μέσα προστασίας του ανταγωνισμού, </w:t>
      </w:r>
      <w:r w:rsidR="007D5E41">
        <w:rPr>
          <w:rFonts w:ascii="Calibri" w:hAnsi="Calibri" w:cs="Calibri"/>
          <w:sz w:val="24"/>
          <w:szCs w:val="24"/>
        </w:rPr>
        <w:t>αίτια</w:t>
      </w:r>
      <w:r w:rsidR="002E0906">
        <w:rPr>
          <w:rFonts w:ascii="Calibri" w:hAnsi="Calibri" w:cs="Calibri"/>
          <w:sz w:val="24"/>
          <w:szCs w:val="24"/>
        </w:rPr>
        <w:t>, κίνητρα</w:t>
      </w:r>
      <w:r w:rsidR="007D5E41">
        <w:rPr>
          <w:rFonts w:ascii="Calibri" w:hAnsi="Calibri" w:cs="Calibri"/>
          <w:sz w:val="24"/>
          <w:szCs w:val="24"/>
        </w:rPr>
        <w:t xml:space="preserve"> και περιπτωσιολογία προσυνεννόησης μεταξύ οικονομικών φορέων </w:t>
      </w:r>
      <w:r w:rsidR="00291E3A">
        <w:rPr>
          <w:rFonts w:ascii="Calibri" w:hAnsi="Calibri" w:cs="Calibri"/>
          <w:sz w:val="24"/>
          <w:szCs w:val="24"/>
        </w:rPr>
        <w:t xml:space="preserve">για υποβολή μη πραγματικά ανταγωνιστικών προσφορών (κατάχρηση δεσπόζουσας θέσης, συμπαιγνία, </w:t>
      </w:r>
      <w:r w:rsidR="00373D0D">
        <w:rPr>
          <w:rFonts w:ascii="Calibri" w:hAnsi="Calibri" w:cs="Calibri"/>
          <w:sz w:val="24"/>
          <w:szCs w:val="24"/>
        </w:rPr>
        <w:t>καρτέλ κλπ.</w:t>
      </w:r>
      <w:r w:rsidR="00291E3A">
        <w:rPr>
          <w:rFonts w:ascii="Calibri" w:hAnsi="Calibri" w:cs="Calibri"/>
          <w:sz w:val="24"/>
          <w:szCs w:val="24"/>
        </w:rPr>
        <w:t>)</w:t>
      </w:r>
      <w:r w:rsidR="00373D0D">
        <w:rPr>
          <w:rFonts w:ascii="Calibri" w:hAnsi="Calibri" w:cs="Calibri"/>
          <w:sz w:val="24"/>
          <w:szCs w:val="24"/>
        </w:rPr>
        <w:t>.</w:t>
      </w:r>
    </w:p>
    <w:p w14:paraId="00E1AD89" w14:textId="77777777" w:rsidR="00373D0D" w:rsidRPr="007D2390" w:rsidRDefault="00373D0D" w:rsidP="007D239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EF74199" w14:textId="0668FE7A" w:rsidR="001F26A0" w:rsidRPr="003D0451" w:rsidRDefault="00F37118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D0451">
        <w:rPr>
          <w:rFonts w:ascii="Calibri" w:hAnsi="Calibri" w:cs="Calibri"/>
          <w:b/>
          <w:bCs/>
          <w:sz w:val="24"/>
          <w:szCs w:val="24"/>
        </w:rPr>
        <w:t xml:space="preserve">Περιπτώσεις </w:t>
      </w:r>
      <w:r w:rsidR="00F82DBA" w:rsidRPr="003D0451">
        <w:rPr>
          <w:rFonts w:ascii="Calibri" w:hAnsi="Calibri" w:cs="Calibri"/>
          <w:b/>
          <w:bCs/>
          <w:sz w:val="24"/>
          <w:szCs w:val="24"/>
        </w:rPr>
        <w:t xml:space="preserve">που οι </w:t>
      </w:r>
      <w:r w:rsidR="00BC45C8" w:rsidRPr="003D0451">
        <w:rPr>
          <w:rFonts w:ascii="Calibri" w:hAnsi="Calibri" w:cs="Calibri"/>
          <w:b/>
          <w:bCs/>
          <w:sz w:val="24"/>
          <w:szCs w:val="24"/>
        </w:rPr>
        <w:t>κοινωνικές, περιβαλλοντικές</w:t>
      </w:r>
      <w:r w:rsidR="005B437F" w:rsidRPr="003D0451">
        <w:rPr>
          <w:rFonts w:ascii="Calibri" w:hAnsi="Calibri" w:cs="Calibri"/>
          <w:b/>
          <w:bCs/>
          <w:sz w:val="24"/>
          <w:szCs w:val="24"/>
        </w:rPr>
        <w:t xml:space="preserve"> ή καινοτόμες πτυχές των δημοσίων συμβάσεων</w:t>
      </w:r>
      <w:r w:rsidR="00F82DBA" w:rsidRPr="003D0451">
        <w:rPr>
          <w:rFonts w:ascii="Calibri" w:hAnsi="Calibri" w:cs="Calibri"/>
          <w:b/>
          <w:bCs/>
          <w:sz w:val="24"/>
          <w:szCs w:val="24"/>
        </w:rPr>
        <w:t xml:space="preserve"> έχουν συμβάλλει στην οικονομική ανάπτυξη εντός των κρατών-μελών της ΕΕ</w:t>
      </w:r>
      <w:r w:rsidR="00F93F63" w:rsidRPr="003D0451">
        <w:rPr>
          <w:rFonts w:ascii="Calibri" w:hAnsi="Calibri" w:cs="Calibri"/>
          <w:b/>
          <w:bCs/>
          <w:sz w:val="24"/>
          <w:szCs w:val="24"/>
        </w:rPr>
        <w:t>.</w:t>
      </w:r>
    </w:p>
    <w:p w14:paraId="46C32753" w14:textId="6C72EDF4" w:rsidR="00373D0D" w:rsidRDefault="00373D0D" w:rsidP="00373D0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BF5585">
        <w:rPr>
          <w:rFonts w:ascii="Calibri" w:hAnsi="Calibri" w:cs="Calibri"/>
          <w:sz w:val="24"/>
          <w:szCs w:val="24"/>
        </w:rPr>
        <w:t>Κίνητρα για πράσινες συμβάσεις, καινοτόμες τεχνολογίες</w:t>
      </w:r>
      <w:r w:rsidR="005E74E7">
        <w:rPr>
          <w:rFonts w:ascii="Calibri" w:hAnsi="Calibri" w:cs="Calibri"/>
          <w:sz w:val="24"/>
          <w:szCs w:val="24"/>
        </w:rPr>
        <w:t xml:space="preserve"> και προκαλούμενα</w:t>
      </w:r>
      <w:r w:rsidR="004B3CA0">
        <w:rPr>
          <w:rFonts w:ascii="Calibri" w:hAnsi="Calibri" w:cs="Calibri"/>
          <w:sz w:val="24"/>
          <w:szCs w:val="24"/>
        </w:rPr>
        <w:t xml:space="preserve"> </w:t>
      </w:r>
      <w:r w:rsidR="00731DEF">
        <w:rPr>
          <w:rFonts w:ascii="Calibri" w:hAnsi="Calibri" w:cs="Calibri"/>
          <w:sz w:val="24"/>
          <w:szCs w:val="24"/>
        </w:rPr>
        <w:t xml:space="preserve">οικονομικά οφέλη σε κρατικό επίπεδο, αλλά και </w:t>
      </w:r>
      <w:r w:rsidR="005E74E7">
        <w:rPr>
          <w:rFonts w:ascii="Calibri" w:hAnsi="Calibri" w:cs="Calibri"/>
          <w:sz w:val="24"/>
          <w:szCs w:val="24"/>
        </w:rPr>
        <w:t>θετικές επιπτώσεις για τους πολίτες της ΕΕ</w:t>
      </w:r>
      <w:r w:rsidR="006D2625">
        <w:rPr>
          <w:rFonts w:ascii="Calibri" w:hAnsi="Calibri" w:cs="Calibri"/>
          <w:sz w:val="24"/>
          <w:szCs w:val="24"/>
        </w:rPr>
        <w:t xml:space="preserve"> με όρους ανταποδοτικότητας</w:t>
      </w:r>
      <w:r w:rsidR="005E74E7">
        <w:rPr>
          <w:rFonts w:ascii="Calibri" w:hAnsi="Calibri" w:cs="Calibri"/>
          <w:sz w:val="24"/>
          <w:szCs w:val="24"/>
        </w:rPr>
        <w:t>.</w:t>
      </w:r>
      <w:r w:rsidR="00731DEF">
        <w:rPr>
          <w:rFonts w:ascii="Calibri" w:hAnsi="Calibri" w:cs="Calibri"/>
          <w:sz w:val="24"/>
          <w:szCs w:val="24"/>
        </w:rPr>
        <w:t xml:space="preserve"> </w:t>
      </w:r>
      <w:r w:rsidR="007F7D8B">
        <w:rPr>
          <w:rFonts w:ascii="Calibri" w:hAnsi="Calibri" w:cs="Calibri"/>
          <w:sz w:val="24"/>
          <w:szCs w:val="24"/>
        </w:rPr>
        <w:t xml:space="preserve">Πως τελικά η εξασφάλιση ενός </w:t>
      </w:r>
      <w:r w:rsidR="007E5B7D">
        <w:rPr>
          <w:rFonts w:ascii="Calibri" w:hAnsi="Calibri" w:cs="Calibri"/>
          <w:sz w:val="24"/>
          <w:szCs w:val="24"/>
        </w:rPr>
        <w:t>ασφαλούς πλαισίου διεξαγωγής των διαδικασιών ανάθεσης πανευρωπαϊκά, οδηγεί σ</w:t>
      </w:r>
      <w:r w:rsidR="00CF2EB5">
        <w:rPr>
          <w:rFonts w:ascii="Calibri" w:hAnsi="Calibri" w:cs="Calibri"/>
          <w:sz w:val="24"/>
          <w:szCs w:val="24"/>
        </w:rPr>
        <w:t>την ανάπτυξη μεγαλύτερου ανταγωνισμού και σ</w:t>
      </w:r>
      <w:r w:rsidR="006D2625">
        <w:rPr>
          <w:rFonts w:ascii="Calibri" w:hAnsi="Calibri" w:cs="Calibri"/>
          <w:sz w:val="24"/>
          <w:szCs w:val="24"/>
        </w:rPr>
        <w:t>ε</w:t>
      </w:r>
      <w:r w:rsidR="00CF2EB5">
        <w:rPr>
          <w:rFonts w:ascii="Calibri" w:hAnsi="Calibri" w:cs="Calibri"/>
          <w:sz w:val="24"/>
          <w:szCs w:val="24"/>
        </w:rPr>
        <w:t xml:space="preserve"> βελτίωση των παρεχόμενων υπηρεσιών, των προσφερόμενων αγαθών και την εκτέλεση καλύτερων έργων</w:t>
      </w:r>
      <w:r w:rsidR="006D2625">
        <w:rPr>
          <w:rFonts w:ascii="Calibri" w:hAnsi="Calibri" w:cs="Calibri"/>
          <w:sz w:val="24"/>
          <w:szCs w:val="24"/>
        </w:rPr>
        <w:t xml:space="preserve">, με καλύτερη διάθεση των </w:t>
      </w:r>
      <w:r w:rsidR="000A2F65">
        <w:rPr>
          <w:rFonts w:ascii="Calibri" w:hAnsi="Calibri" w:cs="Calibri"/>
          <w:sz w:val="24"/>
          <w:szCs w:val="24"/>
        </w:rPr>
        <w:t>δημόσιων πόρων.</w:t>
      </w:r>
    </w:p>
    <w:p w14:paraId="50175D49" w14:textId="77777777" w:rsidR="004B3CA0" w:rsidRPr="00373D0D" w:rsidRDefault="004B3CA0" w:rsidP="00373D0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E954A69" w14:textId="785328A2" w:rsidR="00F93F63" w:rsidRPr="003D0451" w:rsidRDefault="001D37C7" w:rsidP="00DA0243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D0451">
        <w:rPr>
          <w:rFonts w:ascii="Calibri" w:hAnsi="Calibri" w:cs="Calibri"/>
          <w:b/>
          <w:bCs/>
          <w:sz w:val="24"/>
          <w:szCs w:val="24"/>
        </w:rPr>
        <w:t>Μέτρα</w:t>
      </w:r>
      <w:r w:rsidR="00DF7D15" w:rsidRPr="003D0451">
        <w:rPr>
          <w:rFonts w:ascii="Calibri" w:hAnsi="Calibri" w:cs="Calibri"/>
          <w:b/>
          <w:bCs/>
          <w:sz w:val="24"/>
          <w:szCs w:val="24"/>
        </w:rPr>
        <w:t xml:space="preserve"> που λαμβάνονται εντός της ΕΕ </w:t>
      </w:r>
      <w:r w:rsidR="00B842CC" w:rsidRPr="003D0451">
        <w:rPr>
          <w:rFonts w:ascii="Calibri" w:hAnsi="Calibri" w:cs="Calibri"/>
          <w:b/>
          <w:bCs/>
          <w:sz w:val="24"/>
          <w:szCs w:val="24"/>
        </w:rPr>
        <w:t xml:space="preserve">και η ανάληψη δράσεων </w:t>
      </w:r>
      <w:r w:rsidR="00DF7D15" w:rsidRPr="003D0451">
        <w:rPr>
          <w:rFonts w:ascii="Calibri" w:hAnsi="Calibri" w:cs="Calibri"/>
          <w:b/>
          <w:bCs/>
          <w:sz w:val="24"/>
          <w:szCs w:val="24"/>
        </w:rPr>
        <w:t xml:space="preserve">για τη βελτίωση </w:t>
      </w:r>
      <w:r w:rsidR="00B842CC" w:rsidRPr="003D0451">
        <w:rPr>
          <w:rFonts w:ascii="Calibri" w:hAnsi="Calibri" w:cs="Calibri"/>
          <w:b/>
          <w:bCs/>
          <w:sz w:val="24"/>
          <w:szCs w:val="24"/>
        </w:rPr>
        <w:t>της αποτελεσματικότητας στην ανάθεση δημοσίων συμβάσεων.</w:t>
      </w:r>
    </w:p>
    <w:p w14:paraId="333E7D21" w14:textId="61DB1843" w:rsidR="00B842CC" w:rsidRDefault="004B3CA0" w:rsidP="004B3CA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 w:rsidR="005412C5">
        <w:rPr>
          <w:rFonts w:ascii="Calibri" w:hAnsi="Calibri" w:cs="Calibri"/>
          <w:sz w:val="24"/>
          <w:szCs w:val="24"/>
        </w:rPr>
        <w:t xml:space="preserve"> Κενά και αστοχίες του υφιστάμενου καθεστώτος, ανεπάρκεια στοιχείων,</w:t>
      </w:r>
      <w:r w:rsidR="00607F58">
        <w:rPr>
          <w:rFonts w:ascii="Calibri" w:hAnsi="Calibri" w:cs="Calibri"/>
          <w:sz w:val="24"/>
          <w:szCs w:val="24"/>
        </w:rPr>
        <w:t xml:space="preserve"> αδυναμία ελέγχου και αποδελτίωσης των εξαγόμενων στατιστικών. </w:t>
      </w:r>
      <w:r w:rsidR="000113E9">
        <w:rPr>
          <w:rFonts w:ascii="Calibri" w:hAnsi="Calibri" w:cs="Calibri"/>
          <w:sz w:val="24"/>
          <w:szCs w:val="24"/>
        </w:rPr>
        <w:t xml:space="preserve">Διατύπωση και </w:t>
      </w:r>
      <w:r w:rsidR="000113E9">
        <w:rPr>
          <w:rFonts w:ascii="Calibri" w:hAnsi="Calibri" w:cs="Calibri"/>
          <w:sz w:val="24"/>
          <w:szCs w:val="24"/>
        </w:rPr>
        <w:lastRenderedPageBreak/>
        <w:t>ιεράρχηση σαφέστερων και περισσότερο αντικειμενικά μετρήσιμων στόχων</w:t>
      </w:r>
      <w:r w:rsidR="00022694">
        <w:rPr>
          <w:rFonts w:ascii="Calibri" w:hAnsi="Calibri" w:cs="Calibri"/>
          <w:sz w:val="24"/>
          <w:szCs w:val="24"/>
        </w:rPr>
        <w:t>, υιοθέτηση στρατηγικών στόχων στην πολιτική της ΕΕ, αντιμετώπιση διαπιστωμένων ελλείψεων</w:t>
      </w:r>
      <w:r w:rsidR="00DE122E">
        <w:rPr>
          <w:rFonts w:ascii="Calibri" w:hAnsi="Calibri" w:cs="Calibri"/>
          <w:sz w:val="24"/>
          <w:szCs w:val="24"/>
        </w:rPr>
        <w:t xml:space="preserve">, επικαιροποίηση εργαλείων, καλύτερη αξιοποίηση </w:t>
      </w:r>
      <w:r w:rsidR="003F0491">
        <w:rPr>
          <w:rFonts w:ascii="Calibri" w:hAnsi="Calibri" w:cs="Calibri"/>
          <w:sz w:val="24"/>
          <w:szCs w:val="24"/>
        </w:rPr>
        <w:t xml:space="preserve">και ανάλυση </w:t>
      </w:r>
      <w:r w:rsidR="00DE122E">
        <w:rPr>
          <w:rFonts w:ascii="Calibri" w:hAnsi="Calibri" w:cs="Calibri"/>
          <w:sz w:val="24"/>
          <w:szCs w:val="24"/>
        </w:rPr>
        <w:t xml:space="preserve">των </w:t>
      </w:r>
      <w:r w:rsidR="003F0491">
        <w:rPr>
          <w:rFonts w:ascii="Calibri" w:hAnsi="Calibri" w:cs="Calibri"/>
          <w:sz w:val="24"/>
          <w:szCs w:val="24"/>
        </w:rPr>
        <w:t>στοιχείων που συλλέγονται, προώθηση βέλτιστων πρακτικών</w:t>
      </w:r>
      <w:r w:rsidR="00DE122E">
        <w:rPr>
          <w:rFonts w:ascii="Calibri" w:hAnsi="Calibri" w:cs="Calibri"/>
          <w:sz w:val="24"/>
          <w:szCs w:val="24"/>
        </w:rPr>
        <w:t xml:space="preserve"> κλπ.</w:t>
      </w:r>
    </w:p>
    <w:p w14:paraId="1C6814E6" w14:textId="77777777" w:rsidR="00B1466B" w:rsidRDefault="00B1466B" w:rsidP="004B3CA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2460421" w14:textId="32AFECF3" w:rsidR="00B1466B" w:rsidRPr="003D0451" w:rsidRDefault="00B1466B" w:rsidP="00B1466B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Προτυποποίηση, υποδειγματοποίηση και επαγγελματοποίηση </w:t>
      </w:r>
      <w:r w:rsidR="00624A22">
        <w:rPr>
          <w:rFonts w:ascii="Calibri" w:hAnsi="Calibri" w:cs="Calibri"/>
          <w:b/>
          <w:bCs/>
          <w:sz w:val="24"/>
          <w:szCs w:val="24"/>
        </w:rPr>
        <w:t>των διαδικασιών ανάθεσης δημόσιας σύμβασης</w:t>
      </w:r>
      <w:r w:rsidRPr="003D0451">
        <w:rPr>
          <w:rFonts w:ascii="Calibri" w:hAnsi="Calibri" w:cs="Calibri"/>
          <w:b/>
          <w:bCs/>
          <w:sz w:val="24"/>
          <w:szCs w:val="24"/>
        </w:rPr>
        <w:t>.</w:t>
      </w:r>
    </w:p>
    <w:p w14:paraId="431936D6" w14:textId="58E8DC36" w:rsidR="00B1466B" w:rsidRPr="00557980" w:rsidRDefault="00B1466B" w:rsidP="00B1466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Ανάλυση:</w:t>
      </w:r>
      <w:r>
        <w:rPr>
          <w:rFonts w:ascii="Calibri" w:hAnsi="Calibri" w:cs="Calibri"/>
          <w:sz w:val="24"/>
          <w:szCs w:val="24"/>
        </w:rPr>
        <w:t xml:space="preserve"> </w:t>
      </w:r>
      <w:r w:rsidR="00624A22">
        <w:rPr>
          <w:rFonts w:ascii="Calibri" w:hAnsi="Calibri" w:cs="Calibri"/>
          <w:sz w:val="24"/>
          <w:szCs w:val="24"/>
        </w:rPr>
        <w:t xml:space="preserve">Η διευκόλυνση πρόσβασης των οικονομικών φορέων στην αγορά δημοσίων συμβάσεων, </w:t>
      </w:r>
      <w:r w:rsidR="00615179">
        <w:rPr>
          <w:rFonts w:ascii="Calibri" w:hAnsi="Calibri" w:cs="Calibri"/>
          <w:sz w:val="24"/>
          <w:szCs w:val="24"/>
        </w:rPr>
        <w:t xml:space="preserve">η δημιουργία ενός ασφαλούς περιβάλλοντος διεξαγωγής των διαδικασιών ανάθεσης </w:t>
      </w:r>
      <w:r w:rsidR="0079581E">
        <w:rPr>
          <w:rFonts w:ascii="Calibri" w:hAnsi="Calibri" w:cs="Calibri"/>
          <w:sz w:val="24"/>
          <w:szCs w:val="24"/>
        </w:rPr>
        <w:t xml:space="preserve">και </w:t>
      </w:r>
      <w:r w:rsidR="00974204">
        <w:rPr>
          <w:rFonts w:ascii="Calibri" w:hAnsi="Calibri" w:cs="Calibri"/>
          <w:sz w:val="24"/>
          <w:szCs w:val="24"/>
        </w:rPr>
        <w:t xml:space="preserve">η ενίσχυση του ανταγωνισμού μέσα από </w:t>
      </w:r>
      <w:r w:rsidR="00FF43E4">
        <w:rPr>
          <w:rFonts w:ascii="Calibri" w:hAnsi="Calibri" w:cs="Calibri"/>
          <w:sz w:val="24"/>
          <w:szCs w:val="24"/>
        </w:rPr>
        <w:t xml:space="preserve">συστηματοποίηση </w:t>
      </w:r>
      <w:r w:rsidR="00974204">
        <w:rPr>
          <w:rFonts w:ascii="Calibri" w:hAnsi="Calibri" w:cs="Calibri"/>
          <w:sz w:val="24"/>
          <w:szCs w:val="24"/>
        </w:rPr>
        <w:t xml:space="preserve">των διαγωνιστικών </w:t>
      </w:r>
      <w:r w:rsidR="005F4B85">
        <w:rPr>
          <w:rFonts w:ascii="Calibri" w:hAnsi="Calibri" w:cs="Calibri"/>
          <w:sz w:val="24"/>
          <w:szCs w:val="24"/>
        </w:rPr>
        <w:t xml:space="preserve">διαδικασιών, </w:t>
      </w:r>
      <w:r w:rsidR="00FF43E4">
        <w:rPr>
          <w:rFonts w:ascii="Calibri" w:hAnsi="Calibri" w:cs="Calibri"/>
          <w:sz w:val="24"/>
          <w:szCs w:val="24"/>
        </w:rPr>
        <w:t>με την προτυποποίηση/</w:t>
      </w:r>
      <w:r w:rsidR="005F4B85">
        <w:rPr>
          <w:rFonts w:ascii="Calibri" w:hAnsi="Calibri" w:cs="Calibri"/>
          <w:sz w:val="24"/>
          <w:szCs w:val="24"/>
        </w:rPr>
        <w:t xml:space="preserve">υποδειγματοποίηση των </w:t>
      </w:r>
      <w:r w:rsidR="00557980">
        <w:rPr>
          <w:rFonts w:ascii="Calibri" w:hAnsi="Calibri" w:cs="Calibri"/>
          <w:sz w:val="24"/>
          <w:szCs w:val="24"/>
        </w:rPr>
        <w:t>εγγράφων ενός διαγωνισμού και τη χρήση ηλεκτρονικής πλατφόρμας</w:t>
      </w:r>
      <w:r>
        <w:rPr>
          <w:rFonts w:ascii="Calibri" w:hAnsi="Calibri" w:cs="Calibri"/>
          <w:sz w:val="24"/>
          <w:szCs w:val="24"/>
        </w:rPr>
        <w:t>.</w:t>
      </w:r>
      <w:r w:rsidR="00557980">
        <w:rPr>
          <w:rFonts w:ascii="Calibri" w:hAnsi="Calibri" w:cs="Calibri"/>
          <w:sz w:val="24"/>
          <w:szCs w:val="24"/>
        </w:rPr>
        <w:t xml:space="preserve"> Πως τα </w:t>
      </w:r>
      <w:r w:rsidR="00557980">
        <w:rPr>
          <w:rFonts w:ascii="Calibri" w:hAnsi="Calibri" w:cs="Calibri"/>
          <w:sz w:val="24"/>
          <w:szCs w:val="24"/>
          <w:lang w:val="en-US"/>
        </w:rPr>
        <w:t>CPV</w:t>
      </w:r>
      <w:r w:rsidR="00557980">
        <w:rPr>
          <w:rFonts w:ascii="Calibri" w:hAnsi="Calibri" w:cs="Calibri"/>
          <w:sz w:val="24"/>
          <w:szCs w:val="24"/>
        </w:rPr>
        <w:t xml:space="preserve">, το ΕΕΕΣ, το ΕΣΗΔΗΣ κλπ., </w:t>
      </w:r>
      <w:r w:rsidR="00B6574A">
        <w:rPr>
          <w:rFonts w:ascii="Calibri" w:hAnsi="Calibri" w:cs="Calibri"/>
          <w:sz w:val="24"/>
          <w:szCs w:val="24"/>
        </w:rPr>
        <w:t xml:space="preserve">βοηθούν στη διεξαγωγή </w:t>
      </w:r>
      <w:r w:rsidR="000E56D4">
        <w:rPr>
          <w:rFonts w:ascii="Calibri" w:hAnsi="Calibri" w:cs="Calibri"/>
          <w:sz w:val="24"/>
          <w:szCs w:val="24"/>
        </w:rPr>
        <w:t xml:space="preserve">καλύτερων διαγωνισμών. </w:t>
      </w:r>
      <w:r w:rsidR="00FF43E4">
        <w:rPr>
          <w:rFonts w:ascii="Calibri" w:hAnsi="Calibri" w:cs="Calibri"/>
          <w:sz w:val="24"/>
          <w:szCs w:val="24"/>
        </w:rPr>
        <w:t xml:space="preserve">Πως η </w:t>
      </w:r>
      <w:r w:rsidR="003167F9">
        <w:rPr>
          <w:rFonts w:ascii="Calibri" w:hAnsi="Calibri" w:cs="Calibri"/>
          <w:sz w:val="24"/>
          <w:szCs w:val="24"/>
        </w:rPr>
        <w:t>επαγγελματοποίηση και η κατάρτιση των ασχολούμενων με τις δημόσιες συμβάσεις θα βελτιώσει το επίπεδο</w:t>
      </w:r>
      <w:r w:rsidR="002F650A">
        <w:rPr>
          <w:rFonts w:ascii="Calibri" w:hAnsi="Calibri" w:cs="Calibri"/>
          <w:sz w:val="24"/>
          <w:szCs w:val="24"/>
        </w:rPr>
        <w:t xml:space="preserve"> των διαγωνισμών για την ανάθεση έργων, προμηθειών και υπηρεσιών.</w:t>
      </w:r>
    </w:p>
    <w:p w14:paraId="1F0B6A7A" w14:textId="77777777" w:rsidR="00B1466B" w:rsidRPr="005412C5" w:rsidRDefault="00B1466B" w:rsidP="004B3CA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B1466B" w:rsidRPr="005412C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82B4" w14:textId="77777777" w:rsidR="00813943" w:rsidRDefault="00813943" w:rsidP="00813943">
      <w:pPr>
        <w:spacing w:after="0" w:line="240" w:lineRule="auto"/>
      </w:pPr>
      <w:r>
        <w:separator/>
      </w:r>
    </w:p>
  </w:endnote>
  <w:endnote w:type="continuationSeparator" w:id="0">
    <w:p w14:paraId="3DE4363C" w14:textId="77777777" w:rsidR="00813943" w:rsidRDefault="00813943" w:rsidP="0081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831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56ED02" w14:textId="64463952" w:rsidR="00813943" w:rsidRDefault="00813943">
            <w:pPr>
              <w:pStyle w:val="ab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F6231B" w14:textId="77777777" w:rsidR="00813943" w:rsidRDefault="008139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1C4E" w14:textId="77777777" w:rsidR="00813943" w:rsidRDefault="00813943" w:rsidP="00813943">
      <w:pPr>
        <w:spacing w:after="0" w:line="240" w:lineRule="auto"/>
      </w:pPr>
      <w:r>
        <w:separator/>
      </w:r>
    </w:p>
  </w:footnote>
  <w:footnote w:type="continuationSeparator" w:id="0">
    <w:p w14:paraId="0DC379B0" w14:textId="77777777" w:rsidR="00813943" w:rsidRDefault="00813943" w:rsidP="00813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D45"/>
    <w:multiLevelType w:val="hybridMultilevel"/>
    <w:tmpl w:val="712E7E04"/>
    <w:lvl w:ilvl="0" w:tplc="FC68C4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027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257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E7B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64C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85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477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04B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035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B6B62"/>
    <w:multiLevelType w:val="hybridMultilevel"/>
    <w:tmpl w:val="14D0E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642F"/>
    <w:multiLevelType w:val="hybridMultilevel"/>
    <w:tmpl w:val="FCE0B0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4392">
    <w:abstractNumId w:val="2"/>
  </w:num>
  <w:num w:numId="2" w16cid:durableId="780341029">
    <w:abstractNumId w:val="0"/>
  </w:num>
  <w:num w:numId="3" w16cid:durableId="133241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A"/>
    <w:rsid w:val="000113E9"/>
    <w:rsid w:val="00022694"/>
    <w:rsid w:val="00046C05"/>
    <w:rsid w:val="00065D43"/>
    <w:rsid w:val="000A2F65"/>
    <w:rsid w:val="000E3CFB"/>
    <w:rsid w:val="000E56D4"/>
    <w:rsid w:val="00131235"/>
    <w:rsid w:val="00165624"/>
    <w:rsid w:val="0019699A"/>
    <w:rsid w:val="001D37C7"/>
    <w:rsid w:val="001D47C5"/>
    <w:rsid w:val="001F26A0"/>
    <w:rsid w:val="002075BD"/>
    <w:rsid w:val="00291E3A"/>
    <w:rsid w:val="002E0906"/>
    <w:rsid w:val="002F650A"/>
    <w:rsid w:val="003167F9"/>
    <w:rsid w:val="00331397"/>
    <w:rsid w:val="00344051"/>
    <w:rsid w:val="00373D0D"/>
    <w:rsid w:val="003C413B"/>
    <w:rsid w:val="003D0451"/>
    <w:rsid w:val="003D1581"/>
    <w:rsid w:val="003F0491"/>
    <w:rsid w:val="004139AF"/>
    <w:rsid w:val="0043654E"/>
    <w:rsid w:val="00466CA3"/>
    <w:rsid w:val="004A055F"/>
    <w:rsid w:val="004B3CA0"/>
    <w:rsid w:val="004B608D"/>
    <w:rsid w:val="004C4615"/>
    <w:rsid w:val="00515695"/>
    <w:rsid w:val="00516C77"/>
    <w:rsid w:val="00533103"/>
    <w:rsid w:val="005412C5"/>
    <w:rsid w:val="00557980"/>
    <w:rsid w:val="005B437F"/>
    <w:rsid w:val="005B4FF9"/>
    <w:rsid w:val="005E74E7"/>
    <w:rsid w:val="005F4B85"/>
    <w:rsid w:val="00607F58"/>
    <w:rsid w:val="00615179"/>
    <w:rsid w:val="00624A22"/>
    <w:rsid w:val="0065011B"/>
    <w:rsid w:val="006859F8"/>
    <w:rsid w:val="00692988"/>
    <w:rsid w:val="006A6DBE"/>
    <w:rsid w:val="006C4E99"/>
    <w:rsid w:val="006D2625"/>
    <w:rsid w:val="00731DEF"/>
    <w:rsid w:val="0079581E"/>
    <w:rsid w:val="007958CD"/>
    <w:rsid w:val="007D2390"/>
    <w:rsid w:val="007D5E41"/>
    <w:rsid w:val="007E5B7D"/>
    <w:rsid w:val="007E789F"/>
    <w:rsid w:val="007F7D8B"/>
    <w:rsid w:val="00813943"/>
    <w:rsid w:val="00877C87"/>
    <w:rsid w:val="008F1DF2"/>
    <w:rsid w:val="008F5113"/>
    <w:rsid w:val="00941A9B"/>
    <w:rsid w:val="00966BCA"/>
    <w:rsid w:val="00974204"/>
    <w:rsid w:val="009E52C5"/>
    <w:rsid w:val="00AD4495"/>
    <w:rsid w:val="00AF4EA6"/>
    <w:rsid w:val="00AF7039"/>
    <w:rsid w:val="00B1466B"/>
    <w:rsid w:val="00B6574A"/>
    <w:rsid w:val="00B842CC"/>
    <w:rsid w:val="00BC45C8"/>
    <w:rsid w:val="00BD1597"/>
    <w:rsid w:val="00BE0832"/>
    <w:rsid w:val="00BF5585"/>
    <w:rsid w:val="00C91F79"/>
    <w:rsid w:val="00CF2EB5"/>
    <w:rsid w:val="00D02430"/>
    <w:rsid w:val="00D965AD"/>
    <w:rsid w:val="00DA0243"/>
    <w:rsid w:val="00DA578B"/>
    <w:rsid w:val="00DC6E6E"/>
    <w:rsid w:val="00DD74C5"/>
    <w:rsid w:val="00DE122E"/>
    <w:rsid w:val="00DF48E7"/>
    <w:rsid w:val="00DF7D15"/>
    <w:rsid w:val="00E03095"/>
    <w:rsid w:val="00ED2565"/>
    <w:rsid w:val="00ED3E52"/>
    <w:rsid w:val="00EF7B41"/>
    <w:rsid w:val="00F04070"/>
    <w:rsid w:val="00F37118"/>
    <w:rsid w:val="00F7561C"/>
    <w:rsid w:val="00F82DBA"/>
    <w:rsid w:val="00F914CC"/>
    <w:rsid w:val="00F93F63"/>
    <w:rsid w:val="00FE4B0B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2EEE"/>
  <w15:chartTrackingRefBased/>
  <w15:docId w15:val="{843F1CFC-FF45-4449-BC3E-97CB378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69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69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69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69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69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6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69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69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9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69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69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13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13943"/>
  </w:style>
  <w:style w:type="paragraph" w:styleId="ab">
    <w:name w:val="footer"/>
    <w:basedOn w:val="a"/>
    <w:link w:val="Char4"/>
    <w:uiPriority w:val="99"/>
    <w:unhideWhenUsed/>
    <w:rsid w:val="00813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1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084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690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Seiradakis</dc:creator>
  <cp:keywords/>
  <dc:description/>
  <cp:lastModifiedBy>Michalis Seiradakis</cp:lastModifiedBy>
  <cp:revision>95</cp:revision>
  <dcterms:created xsi:type="dcterms:W3CDTF">2024-04-18T11:42:00Z</dcterms:created>
  <dcterms:modified xsi:type="dcterms:W3CDTF">2025-03-26T08:46:00Z</dcterms:modified>
</cp:coreProperties>
</file>