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BD0" w:rsidRPr="0069497B" w:rsidRDefault="00A87BD0" w:rsidP="00A87BD0">
      <w:pPr>
        <w:spacing w:line="276" w:lineRule="auto"/>
        <w:rPr>
          <w:rFonts w:cstheme="minorHAnsi"/>
          <w:b/>
          <w:sz w:val="40"/>
          <w:szCs w:val="40"/>
        </w:rPr>
      </w:pPr>
      <w:bookmarkStart w:id="0" w:name="_GoBack"/>
      <w:bookmarkEnd w:id="0"/>
      <w:r w:rsidRPr="0069497B">
        <w:rPr>
          <w:rFonts w:cstheme="minorHAnsi"/>
          <w:b/>
          <w:sz w:val="40"/>
          <w:szCs w:val="40"/>
        </w:rPr>
        <w:t>Τραπεζική Εποπτεία</w:t>
      </w:r>
    </w:p>
    <w:p w:rsidR="00A87BD0" w:rsidRPr="00170FFF" w:rsidRDefault="00A87BD0" w:rsidP="00A87BD0">
      <w:pPr>
        <w:pStyle w:val="Heading1"/>
        <w:shd w:val="clear" w:color="auto" w:fill="FFFFFF"/>
        <w:spacing w:before="0" w:beforeAutospacing="0" w:after="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Ενιαίος Εποπτικός Μηχανισμός</w:t>
      </w:r>
    </w:p>
    <w:p w:rsidR="00A87BD0" w:rsidRPr="00170FFF" w:rsidRDefault="003139F8"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Pr>
          <w:rFonts w:asciiTheme="minorHAnsi" w:hAnsiTheme="minorHAnsi" w:cstheme="minorHAnsi"/>
          <w:color w:val="262626" w:themeColor="text1" w:themeTint="D9"/>
          <w:sz w:val="28"/>
          <w:szCs w:val="28"/>
        </w:rPr>
        <w:t>Τ</w:t>
      </w:r>
      <w:r w:rsidR="00A87BD0" w:rsidRPr="00170FFF">
        <w:rPr>
          <w:rFonts w:asciiTheme="minorHAnsi" w:hAnsiTheme="minorHAnsi" w:cstheme="minorHAnsi"/>
          <w:color w:val="262626" w:themeColor="text1" w:themeTint="D9"/>
          <w:sz w:val="28"/>
          <w:szCs w:val="28"/>
        </w:rPr>
        <w:t>ο σύστημα τραπεζικής εποπτείας στην Ευρώπη, το οποίο περιλαμβάνει την ΕΚΤ και τις εθνικές εποπτικές αρχές των συμμετεχουσών χωρών.</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Οι βασικοί σκοποί της ευρωπαϊκής τραπεζικής εποπτείας είναι:</w:t>
      </w:r>
    </w:p>
    <w:p w:rsidR="00A87BD0" w:rsidRPr="00170FFF" w:rsidRDefault="00A87BD0" w:rsidP="00A87BD0">
      <w:pPr>
        <w:numPr>
          <w:ilvl w:val="0"/>
          <w:numId w:val="1"/>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η διαφύλαξη της ασφάλειας και της ευρωστίας του ευρωπαϊκού τραπεζικού συστήματος,</w:t>
      </w:r>
    </w:p>
    <w:p w:rsidR="00A87BD0" w:rsidRPr="00170FFF" w:rsidRDefault="00A87BD0" w:rsidP="00A87BD0">
      <w:pPr>
        <w:numPr>
          <w:ilvl w:val="0"/>
          <w:numId w:val="1"/>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η ενίσχυση της χρηματοπιστωτικής ολοκλήρωσης και σταθερότητας,</w:t>
      </w:r>
    </w:p>
    <w:p w:rsidR="00A87BD0" w:rsidRPr="00170FFF" w:rsidRDefault="00A87BD0" w:rsidP="00A87BD0">
      <w:pPr>
        <w:numPr>
          <w:ilvl w:val="0"/>
          <w:numId w:val="1"/>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η διασφάλιση συνεπούς εποπτείας.</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Η ευρωπαϊκή τραπεζική εποπτεία αποτελεί έναν από τους δύο πυλώνες της τραπεζικής ένωσης της ΕΕ. Ο δεύτερος είναι ο Ενιαίος Μηχανισμός Εξυγίανσης.</w:t>
      </w:r>
    </w:p>
    <w:p w:rsidR="00A87BD0" w:rsidRPr="00170FFF" w:rsidRDefault="003139F8" w:rsidP="00A87BD0">
      <w:pPr>
        <w:spacing w:line="276" w:lineRule="auto"/>
        <w:textAlignment w:val="baseline"/>
        <w:rPr>
          <w:rFonts w:cstheme="minorHAnsi"/>
          <w:color w:val="0070C0"/>
          <w:sz w:val="28"/>
          <w:szCs w:val="28"/>
        </w:rPr>
      </w:pPr>
      <w:hyperlink r:id="rId5" w:history="1">
        <w:r w:rsidR="00A87BD0" w:rsidRPr="00170FFF">
          <w:rPr>
            <w:rStyle w:val="Hyperlink"/>
            <w:rFonts w:cstheme="minorHAnsi"/>
            <w:b/>
            <w:bCs/>
            <w:color w:val="0070C0"/>
            <w:sz w:val="28"/>
            <w:szCs w:val="28"/>
            <w:bdr w:val="none" w:sz="0" w:space="0" w:color="auto" w:frame="1"/>
          </w:rPr>
          <w:t>Τραπεζική ένωση</w:t>
        </w:r>
      </w:hyperlink>
    </w:p>
    <w:p w:rsidR="00A87BD0" w:rsidRPr="00170FFF" w:rsidRDefault="00A87BD0" w:rsidP="00A87BD0">
      <w:pPr>
        <w:pStyle w:val="Heading2"/>
        <w:spacing w:before="750" w:after="300" w:line="276" w:lineRule="auto"/>
        <w:textAlignment w:val="baseline"/>
        <w:rPr>
          <w:rFonts w:asciiTheme="minorHAnsi" w:hAnsiTheme="minorHAnsi" w:cstheme="minorHAnsi"/>
          <w:b/>
          <w:color w:val="262626" w:themeColor="text1" w:themeTint="D9"/>
          <w:sz w:val="28"/>
          <w:szCs w:val="28"/>
        </w:rPr>
      </w:pPr>
      <w:r w:rsidRPr="00170FFF">
        <w:rPr>
          <w:rFonts w:asciiTheme="minorHAnsi" w:hAnsiTheme="minorHAnsi" w:cstheme="minorHAnsi"/>
          <w:b/>
          <w:color w:val="262626" w:themeColor="text1" w:themeTint="D9"/>
          <w:sz w:val="28"/>
          <w:szCs w:val="28"/>
        </w:rPr>
        <w:t>Γιατί είναι απαραίτητη η ευρωπαϊκή τραπεζική εποπτεία;</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Η πρόσφατη χρηματοπιστωτική κρίση μάς έδειξε πόσο γρήγορα και με πόση ένταση μπορούν να μεταδοθούν προβλήματα στον χρηματοπιστωτικό τομέα, ιδίως εντός μιας νομισματικής ένωσης, καθώς και πώς αυτά τα προβλήματα μπορούν να επηρεάσουν άμεσα τους πολίτες σε ολόκληρη την Ευρώπη.</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Σκοπός της ευρωπαϊκής τραπεζικής εποπτείας είναι να συμβάλει στην αποκατάσταση της εμπιστοσύνης στον ευρωπαϊκό τραπεζικό τομέα και στην ενίσχυση της ανθεκτικότητας των τραπεζών.</w:t>
      </w:r>
    </w:p>
    <w:p w:rsidR="00A87BD0" w:rsidRPr="00170FFF" w:rsidRDefault="00A87BD0" w:rsidP="00A87BD0">
      <w:pPr>
        <w:pStyle w:val="Heading2"/>
        <w:spacing w:before="750" w:after="300" w:line="276" w:lineRule="auto"/>
        <w:textAlignment w:val="baseline"/>
        <w:rPr>
          <w:rFonts w:asciiTheme="minorHAnsi" w:hAnsiTheme="minorHAnsi" w:cstheme="minorHAnsi"/>
          <w:b/>
          <w:color w:val="262626" w:themeColor="text1" w:themeTint="D9"/>
          <w:sz w:val="28"/>
          <w:szCs w:val="28"/>
        </w:rPr>
      </w:pPr>
      <w:r w:rsidRPr="00170FFF">
        <w:rPr>
          <w:rFonts w:asciiTheme="minorHAnsi" w:hAnsiTheme="minorHAnsi" w:cstheme="minorHAnsi"/>
          <w:b/>
          <w:color w:val="262626" w:themeColor="text1" w:themeTint="D9"/>
          <w:sz w:val="28"/>
          <w:szCs w:val="28"/>
        </w:rPr>
        <w:lastRenderedPageBreak/>
        <w:t>Ποιος είναι ο ρόλος της ΕΚΤ;</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Η ΕΚΤ, ως ανεξάρτητο όργανο της ΕΕ, συντονίζει την τραπεζική εποπτεία από ευρωπαϊκή προοπτική:</w:t>
      </w:r>
    </w:p>
    <w:p w:rsidR="00A87BD0" w:rsidRPr="00170FFF" w:rsidRDefault="00A87BD0" w:rsidP="00A87BD0">
      <w:pPr>
        <w:numPr>
          <w:ilvl w:val="0"/>
          <w:numId w:val="2"/>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θεσπίζοντας κοινή προσέγγιση σε ό,τι αφορά την καθημερινή εποπτεία,</w:t>
      </w:r>
    </w:p>
    <w:p w:rsidR="00A87BD0" w:rsidRPr="00170FFF" w:rsidRDefault="00A87BD0" w:rsidP="00A87BD0">
      <w:pPr>
        <w:numPr>
          <w:ilvl w:val="0"/>
          <w:numId w:val="2"/>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προβαίνοντας σε εναρμονισμένες εποπτικές ενέργειες και λαμβάνοντας διορθωτικά μέτρα,</w:t>
      </w:r>
    </w:p>
    <w:p w:rsidR="00A87BD0" w:rsidRPr="00170FFF" w:rsidRDefault="00A87BD0" w:rsidP="00A87BD0">
      <w:pPr>
        <w:numPr>
          <w:ilvl w:val="0"/>
          <w:numId w:val="2"/>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διασφαλίζοντας τη συνεπή εφαρμογή κανονισμών και πολιτικών εποπτείας.</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Η ΕΚΤ, σε συνεργασία με τις εθνικές εποπτικές αρχές, είναι υπεύθυνη να διασφαλίζει ότι η ευρωπαϊκή τραπεζική εποπτεία είναι αποτελεσματική και συνεπής.</w:t>
      </w:r>
    </w:p>
    <w:p w:rsidR="00A87BD0" w:rsidRPr="00170FFF" w:rsidRDefault="00A87BD0" w:rsidP="00A87BD0">
      <w:pPr>
        <w:pStyle w:val="Heading2"/>
        <w:spacing w:before="750" w:after="30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Τι ακριβώς είναι η τραπεζική εποπτεία;</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b/>
          <w:color w:val="262626" w:themeColor="text1" w:themeTint="D9"/>
          <w:sz w:val="28"/>
          <w:szCs w:val="28"/>
        </w:rPr>
      </w:pPr>
      <w:r w:rsidRPr="00170FFF">
        <w:rPr>
          <w:rFonts w:asciiTheme="minorHAnsi" w:hAnsiTheme="minorHAnsi" w:cstheme="minorHAnsi"/>
          <w:b/>
          <w:color w:val="262626" w:themeColor="text1" w:themeTint="D9"/>
          <w:sz w:val="28"/>
          <w:szCs w:val="28"/>
        </w:rPr>
        <w:t>Οι αρμοδιότητες της ΕΚΤ περιλαμβάνουν:</w:t>
      </w:r>
    </w:p>
    <w:p w:rsidR="00A87BD0" w:rsidRPr="00170FFF" w:rsidRDefault="00A87BD0" w:rsidP="00A87BD0">
      <w:pPr>
        <w:numPr>
          <w:ilvl w:val="0"/>
          <w:numId w:val="3"/>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τη διενέργεια εποπτικών ελέγχων, επιτόπιων επιθεωρήσεων και ερευνών,</w:t>
      </w:r>
    </w:p>
    <w:p w:rsidR="00A87BD0" w:rsidRPr="00170FFF" w:rsidRDefault="00A87BD0" w:rsidP="00A87BD0">
      <w:pPr>
        <w:numPr>
          <w:ilvl w:val="0"/>
          <w:numId w:val="3"/>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τη χορήγηση ή την ανάκληση αδειών λειτουργίας τραπεζών,</w:t>
      </w:r>
    </w:p>
    <w:p w:rsidR="00A87BD0" w:rsidRPr="00170FFF" w:rsidRDefault="00A87BD0" w:rsidP="00A87BD0">
      <w:pPr>
        <w:numPr>
          <w:ilvl w:val="0"/>
          <w:numId w:val="3"/>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την αξιολόγηση της απόκτησης και της διάθεσης </w:t>
      </w:r>
      <w:hyperlink r:id="rId6" w:history="1">
        <w:r w:rsidRPr="00170FFF">
          <w:rPr>
            <w:rStyle w:val="Hyperlink"/>
            <w:rFonts w:cstheme="minorHAnsi"/>
            <w:color w:val="262626" w:themeColor="text1" w:themeTint="D9"/>
            <w:sz w:val="28"/>
            <w:szCs w:val="28"/>
            <w:bdr w:val="none" w:sz="0" w:space="0" w:color="auto" w:frame="1"/>
          </w:rPr>
          <w:t>ειδικών συμμετοχών</w:t>
        </w:r>
      </w:hyperlink>
      <w:r w:rsidRPr="00170FFF">
        <w:rPr>
          <w:rFonts w:cstheme="minorHAnsi"/>
          <w:color w:val="262626" w:themeColor="text1" w:themeTint="D9"/>
          <w:sz w:val="28"/>
          <w:szCs w:val="28"/>
        </w:rPr>
        <w:t> από τις τράπεζες,</w:t>
      </w:r>
    </w:p>
    <w:p w:rsidR="00A87BD0" w:rsidRPr="00170FFF" w:rsidRDefault="00A87BD0" w:rsidP="00A87BD0">
      <w:pPr>
        <w:numPr>
          <w:ilvl w:val="0"/>
          <w:numId w:val="3"/>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τη διασφάλιση της συμμόρφωσης με τους κανόνες προληπτικής εποπτείας της ΕΕ,</w:t>
      </w:r>
    </w:p>
    <w:p w:rsidR="00A87BD0" w:rsidRPr="00170FFF" w:rsidRDefault="00A87BD0" w:rsidP="00A87BD0">
      <w:pPr>
        <w:numPr>
          <w:ilvl w:val="0"/>
          <w:numId w:val="3"/>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τον καθορισμό αυστηρότερων κεφαλαιακών απαιτήσεων («κεφαλαιακά αποθέματα ασφαλείας») προκειμένου να αντιμετωπίζονται τυχόν χρηματοοικονομικοί κίνδυνοι.</w:t>
      </w:r>
    </w:p>
    <w:p w:rsidR="00A87BD0" w:rsidRPr="00170FFF" w:rsidRDefault="003139F8" w:rsidP="00A87BD0">
      <w:pPr>
        <w:spacing w:line="276" w:lineRule="auto"/>
        <w:textAlignment w:val="baseline"/>
        <w:rPr>
          <w:rFonts w:cstheme="minorHAnsi"/>
          <w:color w:val="0070C0"/>
          <w:sz w:val="28"/>
          <w:szCs w:val="28"/>
        </w:rPr>
      </w:pPr>
      <w:hyperlink r:id="rId7" w:history="1">
        <w:r w:rsidR="00A87BD0" w:rsidRPr="00170FFF">
          <w:rPr>
            <w:rStyle w:val="Hyperlink"/>
            <w:rFonts w:cstheme="minorHAnsi"/>
            <w:b/>
            <w:bCs/>
            <w:color w:val="0070C0"/>
            <w:sz w:val="28"/>
            <w:szCs w:val="28"/>
            <w:bdr w:val="none" w:sz="0" w:space="0" w:color="auto" w:frame="1"/>
          </w:rPr>
          <w:t>Εποπτικός κύκλος</w:t>
        </w:r>
      </w:hyperlink>
    </w:p>
    <w:p w:rsidR="00A87BD0" w:rsidRPr="00170FFF" w:rsidRDefault="00A87BD0" w:rsidP="00A87BD0">
      <w:pPr>
        <w:pStyle w:val="Heading2"/>
        <w:spacing w:before="750" w:after="300" w:line="276" w:lineRule="auto"/>
        <w:textAlignment w:val="baseline"/>
        <w:rPr>
          <w:rFonts w:asciiTheme="minorHAnsi" w:hAnsiTheme="minorHAnsi" w:cstheme="minorHAnsi"/>
          <w:b/>
          <w:color w:val="262626" w:themeColor="text1" w:themeTint="D9"/>
          <w:sz w:val="28"/>
          <w:szCs w:val="28"/>
        </w:rPr>
      </w:pPr>
      <w:r w:rsidRPr="00170FFF">
        <w:rPr>
          <w:rFonts w:asciiTheme="minorHAnsi" w:hAnsiTheme="minorHAnsi" w:cstheme="minorHAnsi"/>
          <w:b/>
          <w:color w:val="262626" w:themeColor="text1" w:themeTint="D9"/>
          <w:sz w:val="28"/>
          <w:szCs w:val="28"/>
        </w:rPr>
        <w:lastRenderedPageBreak/>
        <w:t>Ποιοι εποπτεύονται;</w:t>
      </w:r>
    </w:p>
    <w:p w:rsidR="00A87BD0" w:rsidRPr="00170FFF" w:rsidRDefault="00A87BD0" w:rsidP="00A87BD0">
      <w:pPr>
        <w:pStyle w:val="Heading3"/>
        <w:spacing w:before="0" w:after="30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Άμεσα εποπτευόμενες τράπεζες</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Η ΕΚΤ εποπτεύει άμεσα τις 113 σημαντικές τράπεζες που είναι εγκατεστημένες στις συμμετέχουσες χώρες. Οι τράπεζες αυτές κατέχουν σχεδόν 82% του συνολικού ενεργητικού του τραπεζικού τομέα αυτών των χωρών.</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Μια τράπεζα χαρακτηρίζεται σημαντική ή λιγότερο σημαντική βάσει μιας σειράς κριτηρίων.</w:t>
      </w:r>
    </w:p>
    <w:p w:rsidR="00A87BD0" w:rsidRPr="00170FFF" w:rsidRDefault="003139F8" w:rsidP="00A87BD0">
      <w:pPr>
        <w:spacing w:line="276" w:lineRule="auto"/>
        <w:textAlignment w:val="baseline"/>
        <w:rPr>
          <w:rFonts w:cstheme="minorHAnsi"/>
          <w:color w:val="0070C0"/>
          <w:sz w:val="28"/>
          <w:szCs w:val="28"/>
        </w:rPr>
      </w:pPr>
      <w:hyperlink r:id="rId8" w:history="1">
        <w:r w:rsidR="00A87BD0" w:rsidRPr="00170FFF">
          <w:rPr>
            <w:rStyle w:val="Hyperlink"/>
            <w:rFonts w:cstheme="minorHAnsi"/>
            <w:b/>
            <w:bCs/>
            <w:color w:val="0070C0"/>
            <w:sz w:val="28"/>
            <w:szCs w:val="28"/>
            <w:bdr w:val="none" w:sz="0" w:space="0" w:color="auto" w:frame="1"/>
          </w:rPr>
          <w:t>Κριτήρια προσδιορισμού της σημασίας</w:t>
        </w:r>
      </w:hyperlink>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Η συνεχής εποπτεία των σημαντικών τραπεζών διενεργείται από μεικτές εποπτικές ομάδες. Για κάθε σημαντική τράπεζα έχει συσταθεί ειδική μεικτή εποπτική ομάδα, η οποία αποτελείται από μέλη του προσωπικού της ΕΚΤ και των εθνικών εποπτικών αρχών.</w:t>
      </w:r>
    </w:p>
    <w:p w:rsidR="00A87BD0" w:rsidRPr="00170FFF" w:rsidRDefault="003139F8" w:rsidP="00A87BD0">
      <w:pPr>
        <w:spacing w:line="276" w:lineRule="auto"/>
        <w:textAlignment w:val="baseline"/>
        <w:rPr>
          <w:rFonts w:cstheme="minorHAnsi"/>
          <w:color w:val="0070C0"/>
          <w:sz w:val="28"/>
          <w:szCs w:val="28"/>
        </w:rPr>
      </w:pPr>
      <w:hyperlink r:id="rId9" w:history="1">
        <w:r w:rsidR="00A87BD0" w:rsidRPr="00170FFF">
          <w:rPr>
            <w:rStyle w:val="Hyperlink"/>
            <w:rFonts w:cstheme="minorHAnsi"/>
            <w:b/>
            <w:bCs/>
            <w:color w:val="0070C0"/>
            <w:sz w:val="28"/>
            <w:szCs w:val="28"/>
            <w:bdr w:val="none" w:sz="0" w:space="0" w:color="auto" w:frame="1"/>
          </w:rPr>
          <w:t>Μεικτές εποπτικές ομάδες</w:t>
        </w:r>
      </w:hyperlink>
    </w:p>
    <w:p w:rsidR="00A87BD0" w:rsidRPr="00170FFF" w:rsidRDefault="00A87BD0" w:rsidP="00A87BD0">
      <w:pPr>
        <w:pStyle w:val="Heading3"/>
        <w:spacing w:before="750" w:after="300" w:line="276" w:lineRule="auto"/>
        <w:textAlignment w:val="baseline"/>
        <w:rPr>
          <w:rFonts w:asciiTheme="minorHAnsi" w:hAnsiTheme="minorHAnsi" w:cstheme="minorHAnsi"/>
          <w:b/>
          <w:color w:val="262626" w:themeColor="text1" w:themeTint="D9"/>
          <w:sz w:val="28"/>
          <w:szCs w:val="28"/>
        </w:rPr>
      </w:pPr>
      <w:r w:rsidRPr="00170FFF">
        <w:rPr>
          <w:rFonts w:asciiTheme="minorHAnsi" w:hAnsiTheme="minorHAnsi" w:cstheme="minorHAnsi"/>
          <w:b/>
          <w:color w:val="262626" w:themeColor="text1" w:themeTint="D9"/>
          <w:sz w:val="28"/>
          <w:szCs w:val="28"/>
        </w:rPr>
        <w:t>Έμμεσα εποπτευόμενες τράπεζες</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Οι τράπεζες που δεν θεωρούνται σημαντικές είναι γνωστές ως «λιγότερο σημαντικά» ιδρύματα. Υπεύθυνες για την εποπτεία τους παραμένουν οι εθνικές εποπτικές αρχές, οι οποίες συνεργάζονται στενά με την ΕΚΤ.</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Η ΕΚΤ μπορεί ανά πάσα στιγμή να αποφασίσει να αναλάβει την άμεση εποπτεία οποιασδήποτε από αυτές τις τράπεζες, προκειμένου να διασφαλίσει τη συνεπή εφαρμογή υψηλών προτύπων εποπτείας.</w:t>
      </w:r>
    </w:p>
    <w:p w:rsidR="00A87BD0" w:rsidRPr="00170FFF" w:rsidRDefault="00A87BD0" w:rsidP="00A87BD0">
      <w:pPr>
        <w:pStyle w:val="Heading2"/>
        <w:spacing w:before="750" w:after="300" w:line="276" w:lineRule="auto"/>
        <w:textAlignment w:val="baseline"/>
        <w:rPr>
          <w:rFonts w:asciiTheme="minorHAnsi" w:hAnsiTheme="minorHAnsi" w:cstheme="minorHAnsi"/>
          <w:b/>
          <w:color w:val="262626" w:themeColor="text1" w:themeTint="D9"/>
          <w:sz w:val="28"/>
          <w:szCs w:val="28"/>
        </w:rPr>
      </w:pPr>
      <w:r w:rsidRPr="00170FFF">
        <w:rPr>
          <w:rFonts w:asciiTheme="minorHAnsi" w:hAnsiTheme="minorHAnsi" w:cstheme="minorHAnsi"/>
          <w:b/>
          <w:color w:val="262626" w:themeColor="text1" w:themeTint="D9"/>
          <w:sz w:val="28"/>
          <w:szCs w:val="28"/>
        </w:rPr>
        <w:lastRenderedPageBreak/>
        <w:t>Ποιες χώρες συμμετέχουν;</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Όλες οι χώρες της ζώνης του ευρώ συμμετέχουν αυτομάτως στην ευρωπαϊκή τραπεζική εποπτεία.</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Δυνατότητα συμμετοχής έχουν και άλλες χώρες της ΕΕ οι οποίες δεν χρησιμοποιούν το ευρώ ως νόμισμά τους. Για τον σκοπό αυτό, οι εθνικές εποπτικές αρχές καθιερώνουν «στενή συνεργασία» με την ΕΚΤ. Η Βουλγαρία συμμετέχει στην ευρωπαϊκή τραπεζική εποπτεία μέσω στενής συνεργασίας από τον Οκτώβριο του 2020.</w:t>
      </w:r>
    </w:p>
    <w:p w:rsidR="00A87BD0" w:rsidRPr="00170FFF" w:rsidRDefault="003139F8" w:rsidP="00A87BD0">
      <w:pPr>
        <w:spacing w:line="276" w:lineRule="auto"/>
        <w:textAlignment w:val="baseline"/>
        <w:rPr>
          <w:rFonts w:cstheme="minorHAnsi"/>
          <w:color w:val="0070C0"/>
          <w:sz w:val="28"/>
          <w:szCs w:val="28"/>
        </w:rPr>
      </w:pPr>
      <w:hyperlink r:id="rId10" w:history="1">
        <w:r w:rsidR="00A87BD0" w:rsidRPr="00170FFF">
          <w:rPr>
            <w:rStyle w:val="Hyperlink"/>
            <w:rFonts w:cstheme="minorHAnsi"/>
            <w:b/>
            <w:bCs/>
            <w:color w:val="0070C0"/>
            <w:sz w:val="28"/>
            <w:szCs w:val="28"/>
            <w:bdr w:val="none" w:sz="0" w:space="0" w:color="auto" w:frame="1"/>
          </w:rPr>
          <w:t>Απόφαση της ΕΚΤ σχετικά με τις διαδικασίες σύναψης συμφωνίας περί στενής συνεργασίας</w:t>
        </w:r>
      </w:hyperlink>
    </w:p>
    <w:p w:rsidR="00A87BD0" w:rsidRPr="00170FFF" w:rsidRDefault="00A87BD0" w:rsidP="00A87BD0">
      <w:pPr>
        <w:pStyle w:val="Heading3"/>
        <w:spacing w:before="750" w:after="30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Συνεργασία με μη συμμετέχουσες χώρες</w:t>
      </w:r>
    </w:p>
    <w:p w:rsidR="00A87BD0" w:rsidRPr="00170FFF" w:rsidRDefault="00A87BD0" w:rsidP="00A87BD0">
      <w:pPr>
        <w:pStyle w:val="NormalWeb"/>
        <w:spacing w:before="0" w:beforeAutospacing="0" w:after="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Όσον αφορά τις χώρες της ΕΕ που δεν συμμετέχουν στην ευρωπαϊκή τραπεζική εποπτεία, η ΕΚΤ και οι αντίστοιχες εθνικές εποπτικές αρχές μπορούν να καθορίσουν το πλαίσιο της συνεργασίας τους σε ζητήματα εποπτείας συνάπτοντας μνημόνιο συνεννόησης.</w:t>
      </w:r>
    </w:p>
    <w:p w:rsidR="00A87BD0" w:rsidRPr="00170FFF" w:rsidRDefault="00A87BD0" w:rsidP="00A87BD0">
      <w:pPr>
        <w:spacing w:line="276" w:lineRule="auto"/>
        <w:rPr>
          <w:rFonts w:cstheme="minorHAnsi"/>
          <w:color w:val="262626" w:themeColor="text1" w:themeTint="D9"/>
          <w:sz w:val="28"/>
          <w:szCs w:val="28"/>
        </w:rPr>
      </w:pPr>
    </w:p>
    <w:p w:rsidR="00A87BD0" w:rsidRPr="00170FFF" w:rsidRDefault="00A87BD0" w:rsidP="00A87BD0">
      <w:pPr>
        <w:pStyle w:val="Heading1"/>
        <w:shd w:val="clear" w:color="auto" w:fill="FFFFFF"/>
        <w:spacing w:before="0" w:beforeAutospacing="0" w:after="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Εποπτικές πρακτικές</w:t>
      </w:r>
    </w:p>
    <w:p w:rsidR="00A87BD0" w:rsidRPr="00170FFF" w:rsidRDefault="00A87BD0" w:rsidP="00A87BD0">
      <w:pPr>
        <w:pStyle w:val="NormalWeb"/>
        <w:shd w:val="clear" w:color="auto" w:fill="FFFFFF"/>
        <w:spacing w:before="0" w:beforeAutospacing="0" w:after="0" w:afterAutospacing="0" w:line="276" w:lineRule="auto"/>
        <w:textAlignment w:val="baseline"/>
        <w:rPr>
          <w:rFonts w:asciiTheme="minorHAnsi" w:hAnsiTheme="minorHAnsi" w:cstheme="minorHAnsi"/>
          <w:i/>
          <w:iCs/>
          <w:color w:val="262626" w:themeColor="text1" w:themeTint="D9"/>
          <w:sz w:val="28"/>
          <w:szCs w:val="28"/>
        </w:rPr>
      </w:pPr>
      <w:r w:rsidRPr="00170FFF">
        <w:rPr>
          <w:rFonts w:asciiTheme="minorHAnsi" w:hAnsiTheme="minorHAnsi" w:cstheme="minorHAnsi"/>
          <w:i/>
          <w:iCs/>
          <w:color w:val="262626" w:themeColor="text1" w:themeTint="D9"/>
          <w:sz w:val="28"/>
          <w:szCs w:val="28"/>
        </w:rPr>
        <w:t>Διασφαλίζουμε ότι οι τράπεζες μπορούν να εκπληρώσουν τον ζωτικό ρόλο τους</w:t>
      </w:r>
    </w:p>
    <w:p w:rsidR="00A87BD0" w:rsidRPr="00170FFF" w:rsidRDefault="00A87BD0" w:rsidP="00A87BD0">
      <w:pPr>
        <w:pStyle w:val="NormalWeb"/>
        <w:shd w:val="clear" w:color="auto" w:fill="FFFFFF"/>
        <w:spacing w:before="0" w:beforeAutospacing="0" w:after="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Συνεργαζόμαστε με τις εθνικές εποπτικές αρχές για την ασφάλεια και την ευρωστία του τραπεζικού συστήματος στην Ευρώπη. Σε αυτή την ενότητα μπορείτε να μάθετε περισσότερα για τις πρακτικές μας, τις τράπεζες που εποπτεύουμε και τα μέτρα που έχουμε στη διάθεσή μας.</w:t>
      </w:r>
    </w:p>
    <w:p w:rsidR="00A87BD0" w:rsidRPr="00170FFF" w:rsidRDefault="00A87BD0" w:rsidP="00A87BD0">
      <w:pPr>
        <w:pStyle w:val="Heading3"/>
        <w:shd w:val="clear" w:color="auto" w:fill="449EA0"/>
        <w:spacing w:before="0" w:after="375" w:line="276" w:lineRule="auto"/>
        <w:textAlignment w:val="baseline"/>
        <w:rPr>
          <w:rFonts w:asciiTheme="minorHAnsi" w:hAnsiTheme="minorHAnsi" w:cstheme="minorHAnsi"/>
          <w:color w:val="FFFFFF" w:themeColor="background1"/>
          <w:sz w:val="28"/>
          <w:szCs w:val="28"/>
        </w:rPr>
      </w:pPr>
      <w:r w:rsidRPr="00170FFF">
        <w:rPr>
          <w:rFonts w:asciiTheme="minorHAnsi" w:hAnsiTheme="minorHAnsi" w:cstheme="minorHAnsi"/>
          <w:b/>
          <w:bCs/>
          <w:color w:val="FFFFFF" w:themeColor="background1"/>
          <w:sz w:val="28"/>
          <w:szCs w:val="28"/>
        </w:rPr>
        <w:t>Διαδικασία εποπτικού ελέγχου και αξιολόγησης</w:t>
      </w:r>
    </w:p>
    <w:p w:rsidR="00A87BD0" w:rsidRPr="00170FFF" w:rsidRDefault="00A87BD0" w:rsidP="00A87BD0">
      <w:pPr>
        <w:pStyle w:val="NormalWeb"/>
        <w:shd w:val="clear" w:color="auto" w:fill="449EA0"/>
        <w:spacing w:before="0" w:beforeAutospacing="0" w:after="450" w:afterAutospacing="0" w:line="276" w:lineRule="auto"/>
        <w:textAlignment w:val="baseline"/>
        <w:rPr>
          <w:rFonts w:asciiTheme="minorHAnsi" w:hAnsiTheme="minorHAnsi" w:cstheme="minorHAnsi"/>
          <w:color w:val="FFFFFF" w:themeColor="background1"/>
          <w:sz w:val="28"/>
          <w:szCs w:val="28"/>
        </w:rPr>
      </w:pPr>
      <w:r w:rsidRPr="00170FFF">
        <w:rPr>
          <w:rFonts w:asciiTheme="minorHAnsi" w:hAnsiTheme="minorHAnsi" w:cstheme="minorHAnsi"/>
          <w:color w:val="FFFFFF" w:themeColor="background1"/>
          <w:sz w:val="28"/>
          <w:szCs w:val="28"/>
        </w:rPr>
        <w:t xml:space="preserve">Ως επόπτες αξιολογούμε τους κινδύνους που αντιμετωπίζουν οι τράπεζες και ελέγχουμε ότι αυτές διαθέτουν τα κατάλληλα εφόδια ώστε να τους διαχειρίζονται αποτελεσματικά. Αυτή η δραστηριότητα ονομάζεται διαδικασία εποπτικού ελέγχου και αξιολόγησης </w:t>
      </w:r>
      <w:r w:rsidRPr="00170FFF">
        <w:rPr>
          <w:rFonts w:asciiTheme="minorHAnsi" w:hAnsiTheme="minorHAnsi" w:cstheme="minorHAnsi"/>
          <w:color w:val="FFFFFF" w:themeColor="background1"/>
          <w:sz w:val="28"/>
          <w:szCs w:val="28"/>
        </w:rPr>
        <w:lastRenderedPageBreak/>
        <w:t>(</w:t>
      </w:r>
      <w:proofErr w:type="spellStart"/>
      <w:r w:rsidRPr="00170FFF">
        <w:rPr>
          <w:rFonts w:asciiTheme="minorHAnsi" w:hAnsiTheme="minorHAnsi" w:cstheme="minorHAnsi"/>
          <w:color w:val="FFFFFF" w:themeColor="background1"/>
          <w:sz w:val="28"/>
          <w:szCs w:val="28"/>
        </w:rPr>
        <w:t>Supervisory</w:t>
      </w:r>
      <w:proofErr w:type="spellEnd"/>
      <w:r w:rsidRPr="00170FFF">
        <w:rPr>
          <w:rFonts w:asciiTheme="minorHAnsi" w:hAnsiTheme="minorHAnsi" w:cstheme="minorHAnsi"/>
          <w:color w:val="FFFFFF" w:themeColor="background1"/>
          <w:sz w:val="28"/>
          <w:szCs w:val="28"/>
        </w:rPr>
        <w:t xml:space="preserve"> Review and </w:t>
      </w:r>
      <w:proofErr w:type="spellStart"/>
      <w:r w:rsidRPr="00170FFF">
        <w:rPr>
          <w:rFonts w:asciiTheme="minorHAnsi" w:hAnsiTheme="minorHAnsi" w:cstheme="minorHAnsi"/>
          <w:color w:val="FFFFFF" w:themeColor="background1"/>
          <w:sz w:val="28"/>
          <w:szCs w:val="28"/>
        </w:rPr>
        <w:t>Evaluation</w:t>
      </w:r>
      <w:proofErr w:type="spellEnd"/>
      <w:r w:rsidRPr="00170FFF">
        <w:rPr>
          <w:rFonts w:asciiTheme="minorHAnsi" w:hAnsiTheme="minorHAnsi" w:cstheme="minorHAnsi"/>
          <w:color w:val="FFFFFF" w:themeColor="background1"/>
          <w:sz w:val="28"/>
          <w:szCs w:val="28"/>
        </w:rPr>
        <w:t xml:space="preserve"> </w:t>
      </w:r>
      <w:proofErr w:type="spellStart"/>
      <w:r w:rsidRPr="00170FFF">
        <w:rPr>
          <w:rFonts w:asciiTheme="minorHAnsi" w:hAnsiTheme="minorHAnsi" w:cstheme="minorHAnsi"/>
          <w:color w:val="FFFFFF" w:themeColor="background1"/>
          <w:sz w:val="28"/>
          <w:szCs w:val="28"/>
        </w:rPr>
        <w:t>Process</w:t>
      </w:r>
      <w:proofErr w:type="spellEnd"/>
      <w:r w:rsidRPr="00170FFF">
        <w:rPr>
          <w:rFonts w:asciiTheme="minorHAnsi" w:hAnsiTheme="minorHAnsi" w:cstheme="minorHAnsi"/>
          <w:color w:val="FFFFFF" w:themeColor="background1"/>
          <w:sz w:val="28"/>
          <w:szCs w:val="28"/>
        </w:rPr>
        <w:t xml:space="preserve"> - SREP). Σκοπός της είναι η συνεπής αξιολόγηση του προφίλ κινδύνου των τραπεζών και η λήψη αποφάσεων σχετικά με τα απαραίτητα εποπτικά μέτρα.</w:t>
      </w:r>
    </w:p>
    <w:p w:rsidR="00A87BD0" w:rsidRPr="00170FFF" w:rsidRDefault="003139F8" w:rsidP="00A87BD0">
      <w:pPr>
        <w:shd w:val="clear" w:color="auto" w:fill="449EA0"/>
        <w:spacing w:line="276" w:lineRule="auto"/>
        <w:textAlignment w:val="baseline"/>
        <w:rPr>
          <w:rFonts w:cstheme="minorHAnsi"/>
          <w:color w:val="FFFFFF" w:themeColor="background1"/>
          <w:sz w:val="28"/>
          <w:szCs w:val="28"/>
        </w:rPr>
      </w:pPr>
      <w:hyperlink r:id="rId11" w:history="1">
        <w:r w:rsidR="00A87BD0" w:rsidRPr="00170FFF">
          <w:rPr>
            <w:rStyle w:val="Hyperlink"/>
            <w:rFonts w:cstheme="minorHAnsi"/>
            <w:b/>
            <w:bCs/>
            <w:color w:val="FFFFFF" w:themeColor="background1"/>
            <w:sz w:val="28"/>
            <w:szCs w:val="28"/>
            <w:bdr w:val="none" w:sz="0" w:space="0" w:color="auto" w:frame="1"/>
          </w:rPr>
          <w:t>Μάθετε περισσότερα για την SREP</w:t>
        </w:r>
      </w:hyperlink>
    </w:p>
    <w:p w:rsidR="00A87BD0" w:rsidRPr="00170FFF" w:rsidRDefault="00A87BD0" w:rsidP="00A87BD0">
      <w:pPr>
        <w:pStyle w:val="Heading3"/>
        <w:shd w:val="clear" w:color="auto" w:fill="449EA0"/>
        <w:spacing w:before="0" w:after="375" w:line="276" w:lineRule="auto"/>
        <w:textAlignment w:val="baseline"/>
        <w:rPr>
          <w:rFonts w:asciiTheme="minorHAnsi" w:hAnsiTheme="minorHAnsi" w:cstheme="minorHAnsi"/>
          <w:color w:val="FFFFFF" w:themeColor="background1"/>
          <w:sz w:val="28"/>
          <w:szCs w:val="28"/>
        </w:rPr>
      </w:pPr>
      <w:r w:rsidRPr="00170FFF">
        <w:rPr>
          <w:rFonts w:asciiTheme="minorHAnsi" w:hAnsiTheme="minorHAnsi" w:cstheme="minorHAnsi"/>
          <w:b/>
          <w:bCs/>
          <w:color w:val="FFFFFF" w:themeColor="background1"/>
          <w:sz w:val="28"/>
          <w:szCs w:val="28"/>
        </w:rPr>
        <w:t>Εποπτικές προτεραιότητες</w:t>
      </w:r>
    </w:p>
    <w:p w:rsidR="00A87BD0" w:rsidRPr="00170FFF" w:rsidRDefault="00A87BD0" w:rsidP="00A87BD0">
      <w:pPr>
        <w:pStyle w:val="NormalWeb"/>
        <w:shd w:val="clear" w:color="auto" w:fill="449EA0"/>
        <w:spacing w:before="0" w:beforeAutospacing="0" w:after="450" w:afterAutospacing="0" w:line="276" w:lineRule="auto"/>
        <w:textAlignment w:val="baseline"/>
        <w:rPr>
          <w:rFonts w:asciiTheme="minorHAnsi" w:hAnsiTheme="minorHAnsi" w:cstheme="minorHAnsi"/>
          <w:color w:val="FFFFFF" w:themeColor="background1"/>
          <w:sz w:val="28"/>
          <w:szCs w:val="28"/>
        </w:rPr>
      </w:pPr>
      <w:r w:rsidRPr="00170FFF">
        <w:rPr>
          <w:rFonts w:asciiTheme="minorHAnsi" w:hAnsiTheme="minorHAnsi" w:cstheme="minorHAnsi"/>
          <w:color w:val="FFFFFF" w:themeColor="background1"/>
          <w:sz w:val="28"/>
          <w:szCs w:val="28"/>
        </w:rPr>
        <w:t>Οι εποπτικές προτεραιότητες καθορίζουν τους τομείς στους οποίους θα επικεντρωθούμε το επόμενο έτος. Ορίζονται σε ετήσια βάση αλλά μπορούν να αναθεωρηθούν ανά πάσα στιγμή, εάν το αιτιολογούν οι εξελίξεις όσον αφορά τους κινδύνους. Οι εποπτικές προτεραιότητες βασίζονται στην αξιολόγησή μας για τους βασικούς κινδύνους και τις ευπάθειες που αντιμετωπίζουν τα εποπτευόμενα ιδρύματα.</w:t>
      </w:r>
    </w:p>
    <w:p w:rsidR="00A87BD0" w:rsidRPr="00170FFF" w:rsidRDefault="003139F8" w:rsidP="00A87BD0">
      <w:pPr>
        <w:shd w:val="clear" w:color="auto" w:fill="449EA0"/>
        <w:spacing w:line="276" w:lineRule="auto"/>
        <w:textAlignment w:val="baseline"/>
        <w:rPr>
          <w:rFonts w:cstheme="minorHAnsi"/>
          <w:color w:val="FFFFFF" w:themeColor="background1"/>
          <w:sz w:val="28"/>
          <w:szCs w:val="28"/>
        </w:rPr>
      </w:pPr>
      <w:hyperlink r:id="rId12" w:history="1">
        <w:r w:rsidR="00A87BD0" w:rsidRPr="00170FFF">
          <w:rPr>
            <w:rStyle w:val="Hyperlink"/>
            <w:rFonts w:cstheme="minorHAnsi"/>
            <w:b/>
            <w:bCs/>
            <w:color w:val="FFFFFF" w:themeColor="background1"/>
            <w:sz w:val="28"/>
            <w:szCs w:val="28"/>
            <w:bdr w:val="none" w:sz="0" w:space="0" w:color="auto" w:frame="1"/>
          </w:rPr>
          <w:t>Μάθετε περισσότερα για τις εποπτικές προτεραιότητές μας</w:t>
        </w:r>
      </w:hyperlink>
    </w:p>
    <w:p w:rsidR="00170FFF" w:rsidRDefault="00170FFF" w:rsidP="00A87BD0">
      <w:pPr>
        <w:pStyle w:val="Heading3"/>
        <w:shd w:val="clear" w:color="auto" w:fill="FFFFFF"/>
        <w:spacing w:before="0" w:after="375" w:line="276" w:lineRule="auto"/>
        <w:textAlignment w:val="baseline"/>
        <w:rPr>
          <w:rFonts w:asciiTheme="minorHAnsi" w:hAnsiTheme="minorHAnsi" w:cstheme="minorHAnsi"/>
          <w:b/>
          <w:bCs/>
          <w:color w:val="262626" w:themeColor="text1" w:themeTint="D9"/>
          <w:sz w:val="28"/>
          <w:szCs w:val="28"/>
        </w:rPr>
      </w:pPr>
    </w:p>
    <w:p w:rsidR="00A87BD0" w:rsidRPr="003139F8" w:rsidRDefault="00A87BD0" w:rsidP="00A87BD0">
      <w:pPr>
        <w:pStyle w:val="Heading3"/>
        <w:shd w:val="clear" w:color="auto" w:fill="FFFFFF"/>
        <w:spacing w:before="0" w:after="375"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b/>
          <w:bCs/>
          <w:color w:val="262626" w:themeColor="text1" w:themeTint="D9"/>
          <w:sz w:val="28"/>
          <w:szCs w:val="28"/>
        </w:rPr>
        <w:t>Κατάλογος</w:t>
      </w:r>
      <w:r w:rsidRPr="003139F8">
        <w:rPr>
          <w:rFonts w:asciiTheme="minorHAnsi" w:hAnsiTheme="minorHAnsi" w:cstheme="minorHAnsi"/>
          <w:b/>
          <w:bCs/>
          <w:color w:val="262626" w:themeColor="text1" w:themeTint="D9"/>
          <w:sz w:val="28"/>
          <w:szCs w:val="28"/>
        </w:rPr>
        <w:t xml:space="preserve"> </w:t>
      </w:r>
      <w:r w:rsidRPr="00170FFF">
        <w:rPr>
          <w:rFonts w:asciiTheme="minorHAnsi" w:hAnsiTheme="minorHAnsi" w:cstheme="minorHAnsi"/>
          <w:b/>
          <w:bCs/>
          <w:color w:val="262626" w:themeColor="text1" w:themeTint="D9"/>
          <w:sz w:val="28"/>
          <w:szCs w:val="28"/>
        </w:rPr>
        <w:t>εποπτευόμενων</w:t>
      </w:r>
      <w:r w:rsidRPr="003139F8">
        <w:rPr>
          <w:rFonts w:asciiTheme="minorHAnsi" w:hAnsiTheme="minorHAnsi" w:cstheme="minorHAnsi"/>
          <w:b/>
          <w:bCs/>
          <w:color w:val="262626" w:themeColor="text1" w:themeTint="D9"/>
          <w:sz w:val="28"/>
          <w:szCs w:val="28"/>
        </w:rPr>
        <w:t xml:space="preserve"> </w:t>
      </w:r>
      <w:r w:rsidRPr="00170FFF">
        <w:rPr>
          <w:rFonts w:asciiTheme="minorHAnsi" w:hAnsiTheme="minorHAnsi" w:cstheme="minorHAnsi"/>
          <w:b/>
          <w:bCs/>
          <w:color w:val="262626" w:themeColor="text1" w:themeTint="D9"/>
          <w:sz w:val="28"/>
          <w:szCs w:val="28"/>
        </w:rPr>
        <w:t>τραπεζών</w:t>
      </w:r>
    </w:p>
    <w:p w:rsidR="00A87BD0" w:rsidRPr="00170FFF" w:rsidRDefault="00A87BD0" w:rsidP="00A87BD0">
      <w:pPr>
        <w:pStyle w:val="NormalWeb"/>
        <w:shd w:val="clear" w:color="auto" w:fill="FFFFFF"/>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Εποπτεύουμε άμεσα τις μεγαλύτερες τράπεζες των συμμετεχουσών χωρών, σε στενή συνεργασία με τις εθνικές εποπτικές αρχές. Οι εν λόγω αρχές εποπτεύουν επίσης τις μικρότερες τράπεζες στις χώρες τους.</w:t>
      </w:r>
    </w:p>
    <w:p w:rsidR="00A87BD0" w:rsidRPr="00170FFF" w:rsidRDefault="003139F8" w:rsidP="00A87BD0">
      <w:pPr>
        <w:shd w:val="clear" w:color="auto" w:fill="FFFFFF"/>
        <w:spacing w:line="276" w:lineRule="auto"/>
        <w:textAlignment w:val="baseline"/>
        <w:rPr>
          <w:rFonts w:cstheme="minorHAnsi"/>
          <w:color w:val="0070C0"/>
          <w:sz w:val="28"/>
          <w:szCs w:val="28"/>
        </w:rPr>
      </w:pPr>
      <w:hyperlink r:id="rId13" w:history="1">
        <w:r w:rsidR="00A87BD0" w:rsidRPr="00170FFF">
          <w:rPr>
            <w:rStyle w:val="Hyperlink"/>
            <w:rFonts w:cstheme="minorHAnsi"/>
            <w:b/>
            <w:bCs/>
            <w:color w:val="0070C0"/>
            <w:sz w:val="28"/>
            <w:szCs w:val="28"/>
            <w:bdr w:val="none" w:sz="0" w:space="0" w:color="auto" w:frame="1"/>
          </w:rPr>
          <w:t>Μάθετε περισσότερα για τις τράπεζες που εποπτεύουμε</w:t>
        </w:r>
      </w:hyperlink>
    </w:p>
    <w:p w:rsidR="00170FFF" w:rsidRDefault="00170FFF" w:rsidP="00A87BD0">
      <w:pPr>
        <w:pStyle w:val="Heading3"/>
        <w:shd w:val="clear" w:color="auto" w:fill="FFFFFF"/>
        <w:spacing w:before="0" w:after="375" w:line="276" w:lineRule="auto"/>
        <w:textAlignment w:val="baseline"/>
        <w:rPr>
          <w:rFonts w:asciiTheme="minorHAnsi" w:hAnsiTheme="minorHAnsi" w:cstheme="minorHAnsi"/>
          <w:b/>
          <w:bCs/>
          <w:color w:val="262626" w:themeColor="text1" w:themeTint="D9"/>
          <w:sz w:val="28"/>
          <w:szCs w:val="28"/>
        </w:rPr>
      </w:pPr>
    </w:p>
    <w:p w:rsidR="00A87BD0" w:rsidRPr="00170FFF" w:rsidRDefault="00A87BD0" w:rsidP="00A87BD0">
      <w:pPr>
        <w:pStyle w:val="Heading3"/>
        <w:shd w:val="clear" w:color="auto" w:fill="FFFFFF"/>
        <w:spacing w:before="0" w:after="375"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b/>
          <w:bCs/>
          <w:color w:val="262626" w:themeColor="text1" w:themeTint="D9"/>
          <w:sz w:val="28"/>
          <w:szCs w:val="28"/>
        </w:rPr>
        <w:t>Ασκήσεις προσομοίωσης ακραίων καταστάσεων</w:t>
      </w:r>
    </w:p>
    <w:p w:rsidR="00A87BD0" w:rsidRPr="00170FFF" w:rsidRDefault="00A87BD0" w:rsidP="00A87BD0">
      <w:pPr>
        <w:pStyle w:val="NormalWeb"/>
        <w:shd w:val="clear" w:color="auto" w:fill="FFFFFF"/>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 xml:space="preserve">Χρησιμοποιούμε τις ασκήσεις προσομοίωσης ακραίων καταστάσεων για να αξιολογήσουμε πόσο ικανές είναι οι τράπεζες να </w:t>
      </w:r>
      <w:proofErr w:type="spellStart"/>
      <w:r w:rsidRPr="00170FFF">
        <w:rPr>
          <w:rFonts w:asciiTheme="minorHAnsi" w:hAnsiTheme="minorHAnsi" w:cstheme="minorHAnsi"/>
          <w:color w:val="262626" w:themeColor="text1" w:themeTint="D9"/>
          <w:sz w:val="28"/>
          <w:szCs w:val="28"/>
        </w:rPr>
        <w:t>αντεπεξέλθουν</w:t>
      </w:r>
      <w:proofErr w:type="spellEnd"/>
      <w:r w:rsidRPr="00170FFF">
        <w:rPr>
          <w:rFonts w:asciiTheme="minorHAnsi" w:hAnsiTheme="minorHAnsi" w:cstheme="minorHAnsi"/>
          <w:color w:val="262626" w:themeColor="text1" w:themeTint="D9"/>
          <w:sz w:val="28"/>
          <w:szCs w:val="28"/>
        </w:rPr>
        <w:t xml:space="preserve"> σε χρηματοπιστωτικές και οικονομικές διαταραχές. Οι ασκήσεις προσομοίωσης μάς βοηθούν να εντοπίζουμε τις ευπάθειες των τραπεζών και να τις αντιμετωπίζουμε ήδη από τα πρώτα στάδια του εποπτικού διαλόγου με αυτές.</w:t>
      </w:r>
    </w:p>
    <w:p w:rsidR="00A87BD0" w:rsidRDefault="003139F8" w:rsidP="00A87BD0">
      <w:pPr>
        <w:shd w:val="clear" w:color="auto" w:fill="FFFFFF"/>
        <w:spacing w:line="276" w:lineRule="auto"/>
        <w:textAlignment w:val="baseline"/>
        <w:rPr>
          <w:rStyle w:val="Hyperlink"/>
          <w:rFonts w:cstheme="minorHAnsi"/>
          <w:b/>
          <w:bCs/>
          <w:color w:val="0070C0"/>
          <w:sz w:val="28"/>
          <w:szCs w:val="28"/>
          <w:bdr w:val="none" w:sz="0" w:space="0" w:color="auto" w:frame="1"/>
        </w:rPr>
      </w:pPr>
      <w:hyperlink r:id="rId14" w:history="1">
        <w:r w:rsidR="00A87BD0" w:rsidRPr="00170FFF">
          <w:rPr>
            <w:rStyle w:val="Hyperlink"/>
            <w:rFonts w:cstheme="minorHAnsi"/>
            <w:b/>
            <w:bCs/>
            <w:color w:val="0070C0"/>
            <w:sz w:val="28"/>
            <w:szCs w:val="28"/>
            <w:bdr w:val="none" w:sz="0" w:space="0" w:color="auto" w:frame="1"/>
          </w:rPr>
          <w:t>Μάθετε περισσότερα για τις ασκήσεις προσομοίωσης ακραίων καταστάσεων</w:t>
        </w:r>
      </w:hyperlink>
    </w:p>
    <w:p w:rsidR="00170FFF" w:rsidRPr="00170FFF" w:rsidRDefault="00170FFF" w:rsidP="00A87BD0">
      <w:pPr>
        <w:shd w:val="clear" w:color="auto" w:fill="FFFFFF"/>
        <w:spacing w:line="276" w:lineRule="auto"/>
        <w:textAlignment w:val="baseline"/>
        <w:rPr>
          <w:rFonts w:cstheme="minorHAnsi"/>
          <w:color w:val="0070C0"/>
          <w:sz w:val="28"/>
          <w:szCs w:val="28"/>
        </w:rPr>
      </w:pPr>
    </w:p>
    <w:p w:rsidR="00A87BD0" w:rsidRPr="00170FFF" w:rsidRDefault="00A87BD0" w:rsidP="00A87BD0">
      <w:pPr>
        <w:pStyle w:val="Heading3"/>
        <w:shd w:val="clear" w:color="auto" w:fill="FFFFFF"/>
        <w:spacing w:before="0" w:after="375"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b/>
          <w:bCs/>
          <w:color w:val="262626" w:themeColor="text1" w:themeTint="D9"/>
          <w:sz w:val="28"/>
          <w:szCs w:val="28"/>
        </w:rPr>
        <w:t>Εποπτικά δεδομένα</w:t>
      </w:r>
    </w:p>
    <w:p w:rsidR="00A87BD0" w:rsidRPr="00170FFF" w:rsidRDefault="00A87BD0" w:rsidP="00A87BD0">
      <w:pPr>
        <w:pStyle w:val="NormalWeb"/>
        <w:shd w:val="clear" w:color="auto" w:fill="FFFFFF"/>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Τα αξιόπιστα και συγκρίσιμα δεδομένα αποτελούν τη βάση των εργασιών μας. Συνεισφέρουν στις μετέπειτα αποφάσεις και ενέργειες μας. Για να διασφαλιστεί η διαφάνεια, δημοσιεύουμε επίσης τακτικά τα συγκεντρωτικά στατιστικά στοιχεία μας όσον αφορά την τραπεζική εποπτεία.</w:t>
      </w:r>
    </w:p>
    <w:p w:rsidR="00A87BD0" w:rsidRPr="00170FFF" w:rsidRDefault="003139F8" w:rsidP="00A87BD0">
      <w:pPr>
        <w:shd w:val="clear" w:color="auto" w:fill="FFFFFF"/>
        <w:spacing w:line="276" w:lineRule="auto"/>
        <w:textAlignment w:val="baseline"/>
        <w:rPr>
          <w:rFonts w:cstheme="minorHAnsi"/>
          <w:color w:val="0070C0"/>
          <w:sz w:val="28"/>
          <w:szCs w:val="28"/>
        </w:rPr>
      </w:pPr>
      <w:hyperlink r:id="rId15" w:history="1">
        <w:r w:rsidR="00A87BD0" w:rsidRPr="00170FFF">
          <w:rPr>
            <w:rStyle w:val="Hyperlink"/>
            <w:rFonts w:cstheme="minorHAnsi"/>
            <w:b/>
            <w:bCs/>
            <w:color w:val="0070C0"/>
            <w:sz w:val="28"/>
            <w:szCs w:val="28"/>
            <w:bdr w:val="none" w:sz="0" w:space="0" w:color="auto" w:frame="1"/>
          </w:rPr>
          <w:t>Εποπτικά δεδομένα</w:t>
        </w:r>
      </w:hyperlink>
    </w:p>
    <w:p w:rsidR="00170FFF" w:rsidRDefault="00170FFF" w:rsidP="00A87BD0">
      <w:pPr>
        <w:pStyle w:val="Heading3"/>
        <w:shd w:val="clear" w:color="auto" w:fill="FFFFFF"/>
        <w:spacing w:before="0" w:after="375" w:line="276" w:lineRule="auto"/>
        <w:textAlignment w:val="baseline"/>
        <w:rPr>
          <w:rFonts w:asciiTheme="minorHAnsi" w:hAnsiTheme="minorHAnsi" w:cstheme="minorHAnsi"/>
          <w:b/>
          <w:bCs/>
          <w:color w:val="262626" w:themeColor="text1" w:themeTint="D9"/>
          <w:sz w:val="28"/>
          <w:szCs w:val="28"/>
        </w:rPr>
      </w:pPr>
    </w:p>
    <w:p w:rsidR="00A87BD0" w:rsidRPr="00170FFF" w:rsidRDefault="00A87BD0" w:rsidP="00A87BD0">
      <w:pPr>
        <w:pStyle w:val="Heading3"/>
        <w:shd w:val="clear" w:color="auto" w:fill="FFFFFF"/>
        <w:spacing w:before="0" w:after="375"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b/>
          <w:bCs/>
          <w:color w:val="262626" w:themeColor="text1" w:themeTint="D9"/>
          <w:sz w:val="28"/>
          <w:szCs w:val="28"/>
        </w:rPr>
        <w:t>Μεικτές εποπτικές ομάδες</w:t>
      </w:r>
    </w:p>
    <w:p w:rsidR="00A87BD0" w:rsidRPr="00170FFF" w:rsidRDefault="00A87BD0" w:rsidP="00A87BD0">
      <w:pPr>
        <w:pStyle w:val="NormalWeb"/>
        <w:shd w:val="clear" w:color="auto" w:fill="FFFFFF"/>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Οι ευρωπαϊκές και οι εθνικές εποπτικές αρχές συνεργάζονται κατά την άμεση εποπτεία των σημαντικών τραπεζών. Μία από τις βασικές μορφές αυτής της συνεργασίας είναι οι μεικτές εποπτικές ομάδες (ΜΕΟ). Οι ομάδες αυτές αναλαμβάνουν το καθημερινό εποπτικό έργο, καλλιεργούν μια κοινή εποπτική νοοτροπία και προάγουν τη συνεπή εποπτεία.</w:t>
      </w:r>
    </w:p>
    <w:p w:rsidR="00A87BD0" w:rsidRDefault="003139F8" w:rsidP="00A87BD0">
      <w:pPr>
        <w:shd w:val="clear" w:color="auto" w:fill="FFFFFF"/>
        <w:spacing w:line="276" w:lineRule="auto"/>
        <w:textAlignment w:val="baseline"/>
        <w:rPr>
          <w:rStyle w:val="Hyperlink"/>
          <w:rFonts w:cstheme="minorHAnsi"/>
          <w:b/>
          <w:bCs/>
          <w:color w:val="0070C0"/>
          <w:sz w:val="28"/>
          <w:szCs w:val="28"/>
          <w:bdr w:val="none" w:sz="0" w:space="0" w:color="auto" w:frame="1"/>
        </w:rPr>
      </w:pPr>
      <w:hyperlink r:id="rId16" w:history="1">
        <w:r w:rsidR="00A87BD0" w:rsidRPr="00170FFF">
          <w:rPr>
            <w:rStyle w:val="Hyperlink"/>
            <w:rFonts w:cstheme="minorHAnsi"/>
            <w:b/>
            <w:bCs/>
            <w:color w:val="0070C0"/>
            <w:sz w:val="28"/>
            <w:szCs w:val="28"/>
            <w:bdr w:val="none" w:sz="0" w:space="0" w:color="auto" w:frame="1"/>
          </w:rPr>
          <w:t>Μάθετε περισσότερα για τις μεικτές εποπτικές ομάδες</w:t>
        </w:r>
      </w:hyperlink>
    </w:p>
    <w:p w:rsidR="00170FFF" w:rsidRPr="00170FFF" w:rsidRDefault="00170FFF" w:rsidP="00A87BD0">
      <w:pPr>
        <w:shd w:val="clear" w:color="auto" w:fill="FFFFFF"/>
        <w:spacing w:line="276" w:lineRule="auto"/>
        <w:textAlignment w:val="baseline"/>
        <w:rPr>
          <w:rFonts w:cstheme="minorHAnsi"/>
          <w:color w:val="262626" w:themeColor="text1" w:themeTint="D9"/>
          <w:sz w:val="28"/>
          <w:szCs w:val="28"/>
        </w:rPr>
      </w:pPr>
    </w:p>
    <w:p w:rsidR="00A87BD0" w:rsidRPr="00170FFF" w:rsidRDefault="00A87BD0" w:rsidP="00170FFF">
      <w:pPr>
        <w:pStyle w:val="Heading2"/>
        <w:spacing w:before="0" w:after="750" w:line="276" w:lineRule="auto"/>
        <w:textAlignment w:val="baseline"/>
        <w:rPr>
          <w:rFonts w:asciiTheme="minorHAnsi" w:hAnsiTheme="minorHAnsi" w:cstheme="minorHAnsi"/>
          <w:b/>
          <w:bCs/>
          <w:color w:val="262626" w:themeColor="text1" w:themeTint="D9"/>
          <w:sz w:val="28"/>
          <w:szCs w:val="28"/>
        </w:rPr>
      </w:pPr>
      <w:r w:rsidRPr="00170FFF">
        <w:rPr>
          <w:rFonts w:asciiTheme="minorHAnsi" w:hAnsiTheme="minorHAnsi" w:cstheme="minorHAnsi"/>
          <w:b/>
          <w:bCs/>
          <w:color w:val="262626" w:themeColor="text1" w:themeTint="D9"/>
          <w:sz w:val="28"/>
          <w:szCs w:val="28"/>
        </w:rPr>
        <w:t>Ανακαλύψτε περισσότερα για τ</w:t>
      </w:r>
      <w:r w:rsidR="00170FFF">
        <w:rPr>
          <w:rFonts w:asciiTheme="minorHAnsi" w:hAnsiTheme="minorHAnsi" w:cstheme="minorHAnsi"/>
          <w:b/>
          <w:bCs/>
          <w:color w:val="262626" w:themeColor="text1" w:themeTint="D9"/>
          <w:sz w:val="28"/>
          <w:szCs w:val="28"/>
        </w:rPr>
        <w:t xml:space="preserve">α </w:t>
      </w:r>
      <w:r w:rsidRPr="00170FFF">
        <w:rPr>
          <w:rFonts w:asciiTheme="minorHAnsi" w:hAnsiTheme="minorHAnsi" w:cstheme="minorHAnsi"/>
          <w:b/>
          <w:bCs/>
          <w:color w:val="262626" w:themeColor="text1" w:themeTint="D9"/>
          <w:sz w:val="28"/>
          <w:szCs w:val="28"/>
        </w:rPr>
        <w:t>Εποπτικά μέτρα</w:t>
      </w:r>
    </w:p>
    <w:p w:rsidR="00A87BD0" w:rsidRPr="00170FFF" w:rsidRDefault="00A87BD0" w:rsidP="00A87BD0">
      <w:pPr>
        <w:pStyle w:val="NormalWeb"/>
        <w:shd w:val="clear" w:color="auto" w:fill="FFFFFF"/>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Τα εποπτικά μέτρα που λαμβάνουμε έχουν ως στόχο να διασφαλίσουν ότι οι τράπεζες που εποπτεύουμε συμμορφώνονται με τις απαιτήσεις προληπτικής εποπτείας. Τα μέτρα μας ενθαρρύνουν τις τράπεζες να προχωρήσουν στις ενέργειες που είναι απαραίτητες για την αντιμετώπιση τυχόν ζητημάτων όσο το δυνατόν νωρίτερα.</w:t>
      </w:r>
    </w:p>
    <w:p w:rsidR="00A87BD0" w:rsidRPr="00170FFF" w:rsidRDefault="003139F8" w:rsidP="00A87BD0">
      <w:pPr>
        <w:shd w:val="clear" w:color="auto" w:fill="FFFFFF"/>
        <w:spacing w:line="276" w:lineRule="auto"/>
        <w:textAlignment w:val="baseline"/>
        <w:rPr>
          <w:rFonts w:cstheme="minorHAnsi"/>
          <w:color w:val="0070C0"/>
          <w:sz w:val="28"/>
          <w:szCs w:val="28"/>
        </w:rPr>
      </w:pPr>
      <w:hyperlink r:id="rId17" w:history="1">
        <w:r w:rsidR="00A87BD0" w:rsidRPr="00170FFF">
          <w:rPr>
            <w:rStyle w:val="Hyperlink"/>
            <w:rFonts w:cstheme="minorHAnsi"/>
            <w:b/>
            <w:bCs/>
            <w:color w:val="0070C0"/>
            <w:sz w:val="28"/>
            <w:szCs w:val="28"/>
            <w:bdr w:val="none" w:sz="0" w:space="0" w:color="auto" w:frame="1"/>
          </w:rPr>
          <w:t>Εποπτικά μέτρα</w:t>
        </w:r>
      </w:hyperlink>
    </w:p>
    <w:p w:rsidR="00A87BD0" w:rsidRPr="00170FFF" w:rsidRDefault="00A87BD0" w:rsidP="00A87BD0">
      <w:pPr>
        <w:spacing w:line="276" w:lineRule="auto"/>
        <w:textAlignment w:val="baseline"/>
        <w:rPr>
          <w:rFonts w:cstheme="minorHAnsi"/>
          <w:b/>
          <w:bCs/>
          <w:color w:val="262626" w:themeColor="text1" w:themeTint="D9"/>
          <w:sz w:val="28"/>
          <w:szCs w:val="28"/>
        </w:rPr>
      </w:pPr>
      <w:r w:rsidRPr="00170FFF">
        <w:rPr>
          <w:rFonts w:cstheme="minorHAnsi"/>
          <w:b/>
          <w:bCs/>
          <w:color w:val="262626" w:themeColor="text1" w:themeTint="D9"/>
          <w:sz w:val="28"/>
          <w:szCs w:val="28"/>
        </w:rPr>
        <w:t>Συμμόρφωση</w:t>
      </w:r>
    </w:p>
    <w:p w:rsidR="00A87BD0" w:rsidRPr="00170FFF" w:rsidRDefault="00A87BD0" w:rsidP="00A87BD0">
      <w:pPr>
        <w:pStyle w:val="NormalWeb"/>
        <w:shd w:val="clear" w:color="auto" w:fill="FFFFFF"/>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Σε περίπτωση που οι τράπεζες δεν συμμορφώνονται με τις απαιτήσεις προληπτικής εποπτείας ή με τα εποπτικά μέτρα μας μπορούμε επίσης να επιβάλουμε μέτρα συμμόρφωσης. Τα μέτρα αυτά επιβάλλονται μόνο σε περίπτωση συνεχών παραβάσεων.</w:t>
      </w:r>
    </w:p>
    <w:p w:rsidR="00A87BD0" w:rsidRPr="00170FFF" w:rsidRDefault="003139F8" w:rsidP="00A87BD0">
      <w:pPr>
        <w:shd w:val="clear" w:color="auto" w:fill="FFFFFF"/>
        <w:spacing w:line="276" w:lineRule="auto"/>
        <w:textAlignment w:val="baseline"/>
        <w:rPr>
          <w:rFonts w:cstheme="minorHAnsi"/>
          <w:color w:val="0070C0"/>
          <w:sz w:val="28"/>
          <w:szCs w:val="28"/>
        </w:rPr>
      </w:pPr>
      <w:hyperlink r:id="rId18" w:history="1">
        <w:r w:rsidR="00A87BD0" w:rsidRPr="00170FFF">
          <w:rPr>
            <w:rStyle w:val="Hyperlink"/>
            <w:rFonts w:cstheme="minorHAnsi"/>
            <w:b/>
            <w:bCs/>
            <w:color w:val="0070C0"/>
            <w:sz w:val="28"/>
            <w:szCs w:val="28"/>
            <w:bdr w:val="none" w:sz="0" w:space="0" w:color="auto" w:frame="1"/>
          </w:rPr>
          <w:t>Συμμόρφωση</w:t>
        </w:r>
      </w:hyperlink>
    </w:p>
    <w:p w:rsidR="00A87BD0" w:rsidRPr="00170FFF" w:rsidRDefault="00A87BD0" w:rsidP="00A87BD0">
      <w:pPr>
        <w:spacing w:line="276" w:lineRule="auto"/>
        <w:textAlignment w:val="baseline"/>
        <w:rPr>
          <w:rFonts w:cstheme="minorHAnsi"/>
          <w:b/>
          <w:bCs/>
          <w:color w:val="262626" w:themeColor="text1" w:themeTint="D9"/>
          <w:sz w:val="28"/>
          <w:szCs w:val="28"/>
        </w:rPr>
      </w:pPr>
      <w:r w:rsidRPr="00170FFF">
        <w:rPr>
          <w:rFonts w:cstheme="minorHAnsi"/>
          <w:b/>
          <w:bCs/>
          <w:color w:val="262626" w:themeColor="text1" w:themeTint="D9"/>
          <w:sz w:val="28"/>
          <w:szCs w:val="28"/>
        </w:rPr>
        <w:t>Κυρώσεις</w:t>
      </w:r>
    </w:p>
    <w:p w:rsidR="00A87BD0" w:rsidRPr="00170FFF" w:rsidRDefault="00A87BD0" w:rsidP="00A87BD0">
      <w:pPr>
        <w:pStyle w:val="NormalWeb"/>
        <w:shd w:val="clear" w:color="auto" w:fill="FFFFFF"/>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 xml:space="preserve">Οι κυρώσεις αποσκοπούν στο να τιμωρείται τυχόν </w:t>
      </w:r>
      <w:proofErr w:type="spellStart"/>
      <w:r w:rsidRPr="00170FFF">
        <w:rPr>
          <w:rFonts w:asciiTheme="minorHAnsi" w:hAnsiTheme="minorHAnsi" w:cstheme="minorHAnsi"/>
          <w:color w:val="262626" w:themeColor="text1" w:themeTint="D9"/>
          <w:sz w:val="28"/>
          <w:szCs w:val="28"/>
        </w:rPr>
        <w:t>παραβατική</w:t>
      </w:r>
      <w:proofErr w:type="spellEnd"/>
      <w:r w:rsidRPr="00170FFF">
        <w:rPr>
          <w:rFonts w:asciiTheme="minorHAnsi" w:hAnsiTheme="minorHAnsi" w:cstheme="minorHAnsi"/>
          <w:color w:val="262626" w:themeColor="text1" w:themeTint="D9"/>
          <w:sz w:val="28"/>
          <w:szCs w:val="28"/>
        </w:rPr>
        <w:t xml:space="preserve"> συμπεριφορά. Επίσης, λειτουργούν αποτρεπτικά όχι μόνο για την τράπεζα στην οποία απευθύνονται αλλά και για ολόκληρο τον τραπεζικό τομέα. Οι κυρώσεις που επιβάλλουμε αποσκοπούν επίσης στην καλλιέργεια μιας νοοτροπίας συμμόρφωσης εντός του ευρωπαϊκού τραπεζικού συστήματος.</w:t>
      </w:r>
    </w:p>
    <w:p w:rsidR="00A87BD0" w:rsidRPr="00170FFF" w:rsidRDefault="003139F8" w:rsidP="00A87BD0">
      <w:pPr>
        <w:shd w:val="clear" w:color="auto" w:fill="FFFFFF"/>
        <w:spacing w:line="276" w:lineRule="auto"/>
        <w:textAlignment w:val="baseline"/>
        <w:rPr>
          <w:rFonts w:cstheme="minorHAnsi"/>
          <w:color w:val="0070C0"/>
          <w:sz w:val="28"/>
          <w:szCs w:val="28"/>
        </w:rPr>
      </w:pPr>
      <w:hyperlink r:id="rId19" w:history="1">
        <w:r w:rsidR="00A87BD0" w:rsidRPr="00170FFF">
          <w:rPr>
            <w:rStyle w:val="Hyperlink"/>
            <w:rFonts w:cstheme="minorHAnsi"/>
            <w:b/>
            <w:bCs/>
            <w:color w:val="0070C0"/>
            <w:sz w:val="28"/>
            <w:szCs w:val="28"/>
            <w:bdr w:val="none" w:sz="0" w:space="0" w:color="auto" w:frame="1"/>
          </w:rPr>
          <w:t>Κυρώσεις</w:t>
        </w:r>
      </w:hyperlink>
    </w:p>
    <w:p w:rsidR="00A87BD0" w:rsidRPr="00170FFF" w:rsidRDefault="00A87BD0" w:rsidP="00A87BD0">
      <w:pPr>
        <w:spacing w:line="276" w:lineRule="auto"/>
        <w:textAlignment w:val="baseline"/>
        <w:rPr>
          <w:rFonts w:cstheme="minorHAnsi"/>
          <w:b/>
          <w:bCs/>
          <w:color w:val="262626" w:themeColor="text1" w:themeTint="D9"/>
          <w:sz w:val="28"/>
          <w:szCs w:val="28"/>
        </w:rPr>
      </w:pPr>
      <w:r w:rsidRPr="00170FFF">
        <w:rPr>
          <w:rFonts w:cstheme="minorHAnsi"/>
          <w:b/>
          <w:bCs/>
          <w:color w:val="262626" w:themeColor="text1" w:themeTint="D9"/>
          <w:sz w:val="28"/>
          <w:szCs w:val="28"/>
        </w:rPr>
        <w:t>Εποπτικές εγκρίσεις</w:t>
      </w:r>
    </w:p>
    <w:p w:rsidR="00A87BD0" w:rsidRPr="00170FFF" w:rsidRDefault="00A87BD0" w:rsidP="00A87BD0">
      <w:pPr>
        <w:pStyle w:val="NormalWeb"/>
        <w:shd w:val="clear" w:color="auto" w:fill="FFFFFF"/>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Στο πλαίσιο της ευρωπαϊκής τραπεζικής εποπτείας, η ΕΚΤ είναι αρμόδια για τη χορήγηση εποπτικών εγκρίσεων. Η ΕΚΤ εφαρμόζει το ενιαίο εγχειρίδιο της ΕΑΤ και, όπου κρίνεται αναγκαίο, την εθνική νομοθεσία. Συνεργάζεται επίσης με τις εθνικές εποπτικές αρχές για να διασφαλίσει μια συνεπή προσέγγιση και υψηλά πρότυπα σε όλες τις χώρες.</w:t>
      </w:r>
    </w:p>
    <w:p w:rsidR="00A87BD0" w:rsidRPr="00170FFF" w:rsidRDefault="003139F8" w:rsidP="00A87BD0">
      <w:pPr>
        <w:shd w:val="clear" w:color="auto" w:fill="FFFFFF"/>
        <w:spacing w:line="276" w:lineRule="auto"/>
        <w:textAlignment w:val="baseline"/>
        <w:rPr>
          <w:rFonts w:cstheme="minorHAnsi"/>
          <w:color w:val="0070C0"/>
          <w:sz w:val="28"/>
          <w:szCs w:val="28"/>
        </w:rPr>
      </w:pPr>
      <w:hyperlink r:id="rId20" w:history="1">
        <w:r w:rsidR="00A87BD0" w:rsidRPr="00170FFF">
          <w:rPr>
            <w:rStyle w:val="Hyperlink"/>
            <w:rFonts w:cstheme="minorHAnsi"/>
            <w:b/>
            <w:bCs/>
            <w:color w:val="0070C0"/>
            <w:sz w:val="28"/>
            <w:szCs w:val="28"/>
            <w:bdr w:val="none" w:sz="0" w:space="0" w:color="auto" w:frame="1"/>
          </w:rPr>
          <w:t>Εποπτικές εγκρίσεις</w:t>
        </w:r>
      </w:hyperlink>
    </w:p>
    <w:p w:rsidR="00A87BD0" w:rsidRPr="00170FFF" w:rsidRDefault="00A87BD0" w:rsidP="00A87BD0">
      <w:pPr>
        <w:spacing w:line="276" w:lineRule="auto"/>
        <w:textAlignment w:val="baseline"/>
        <w:rPr>
          <w:rFonts w:cstheme="minorHAnsi"/>
          <w:b/>
          <w:bCs/>
          <w:color w:val="262626" w:themeColor="text1" w:themeTint="D9"/>
          <w:sz w:val="28"/>
          <w:szCs w:val="28"/>
        </w:rPr>
      </w:pPr>
      <w:r w:rsidRPr="00170FFF">
        <w:rPr>
          <w:rFonts w:cstheme="minorHAnsi"/>
          <w:b/>
          <w:bCs/>
          <w:color w:val="262626" w:themeColor="text1" w:themeTint="D9"/>
          <w:sz w:val="28"/>
          <w:szCs w:val="28"/>
        </w:rPr>
        <w:t xml:space="preserve">Αξιολογήσεις </w:t>
      </w:r>
      <w:proofErr w:type="spellStart"/>
      <w:r w:rsidRPr="00170FFF">
        <w:rPr>
          <w:rFonts w:cstheme="minorHAnsi"/>
          <w:b/>
          <w:bCs/>
          <w:color w:val="262626" w:themeColor="text1" w:themeTint="D9"/>
          <w:sz w:val="28"/>
          <w:szCs w:val="28"/>
        </w:rPr>
        <w:t>καταλληλότητας</w:t>
      </w:r>
      <w:proofErr w:type="spellEnd"/>
    </w:p>
    <w:p w:rsidR="00A87BD0" w:rsidRPr="00170FFF" w:rsidRDefault="00A87BD0" w:rsidP="00A87BD0">
      <w:pPr>
        <w:pStyle w:val="NormalWeb"/>
        <w:shd w:val="clear" w:color="auto" w:fill="FFFFFF"/>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 xml:space="preserve">Η </w:t>
      </w:r>
      <w:proofErr w:type="spellStart"/>
      <w:r w:rsidRPr="00170FFF">
        <w:rPr>
          <w:rFonts w:asciiTheme="minorHAnsi" w:hAnsiTheme="minorHAnsi" w:cstheme="minorHAnsi"/>
          <w:color w:val="262626" w:themeColor="text1" w:themeTint="D9"/>
          <w:sz w:val="28"/>
          <w:szCs w:val="28"/>
        </w:rPr>
        <w:t>καταλληλότητα</w:t>
      </w:r>
      <w:proofErr w:type="spellEnd"/>
      <w:r w:rsidRPr="00170FFF">
        <w:rPr>
          <w:rFonts w:asciiTheme="minorHAnsi" w:hAnsiTheme="minorHAnsi" w:cstheme="minorHAnsi"/>
          <w:color w:val="262626" w:themeColor="text1" w:themeTint="D9"/>
          <w:sz w:val="28"/>
          <w:szCs w:val="28"/>
        </w:rPr>
        <w:t xml:space="preserve"> των διευθυντικών στελεχών είναι σημαντικός παράγοντας για την ορθή λειτουργία μιας τράπεζας. Οι τράπεζες πρέπει να διασφαλίζουν αυτήν την </w:t>
      </w:r>
      <w:proofErr w:type="spellStart"/>
      <w:r w:rsidRPr="00170FFF">
        <w:rPr>
          <w:rFonts w:asciiTheme="minorHAnsi" w:hAnsiTheme="minorHAnsi" w:cstheme="minorHAnsi"/>
          <w:color w:val="262626" w:themeColor="text1" w:themeTint="D9"/>
          <w:sz w:val="28"/>
          <w:szCs w:val="28"/>
        </w:rPr>
        <w:t>καταλληλότητα</w:t>
      </w:r>
      <w:proofErr w:type="spellEnd"/>
      <w:r w:rsidRPr="00170FFF">
        <w:rPr>
          <w:rFonts w:asciiTheme="minorHAnsi" w:hAnsiTheme="minorHAnsi" w:cstheme="minorHAnsi"/>
          <w:color w:val="262626" w:themeColor="text1" w:themeTint="D9"/>
          <w:sz w:val="28"/>
          <w:szCs w:val="28"/>
        </w:rPr>
        <w:t xml:space="preserve"> σε συνεχή βάση. Η ΕΚΤ ενεργεί ως ρυθμιστής της εισόδου στην αγορά και αξιολογεί την </w:t>
      </w:r>
      <w:proofErr w:type="spellStart"/>
      <w:r w:rsidRPr="00170FFF">
        <w:rPr>
          <w:rFonts w:asciiTheme="minorHAnsi" w:hAnsiTheme="minorHAnsi" w:cstheme="minorHAnsi"/>
          <w:color w:val="262626" w:themeColor="text1" w:themeTint="D9"/>
          <w:sz w:val="28"/>
          <w:szCs w:val="28"/>
        </w:rPr>
        <w:lastRenderedPageBreak/>
        <w:t>καταλληλότητα</w:t>
      </w:r>
      <w:proofErr w:type="spellEnd"/>
      <w:r w:rsidRPr="00170FFF">
        <w:rPr>
          <w:rFonts w:asciiTheme="minorHAnsi" w:hAnsiTheme="minorHAnsi" w:cstheme="minorHAnsi"/>
          <w:color w:val="262626" w:themeColor="text1" w:themeTint="D9"/>
          <w:sz w:val="28"/>
          <w:szCs w:val="28"/>
        </w:rPr>
        <w:t xml:space="preserve"> όλων των μελών των διοικητικών οργάνων για όλα τα ιδρύματα που υπόκεινται στην άμεση εποπτεία της.</w:t>
      </w:r>
    </w:p>
    <w:p w:rsidR="00A87BD0" w:rsidRPr="00170FFF" w:rsidRDefault="003139F8" w:rsidP="00A87BD0">
      <w:pPr>
        <w:shd w:val="clear" w:color="auto" w:fill="FFFFFF"/>
        <w:spacing w:line="276" w:lineRule="auto"/>
        <w:textAlignment w:val="baseline"/>
        <w:rPr>
          <w:rFonts w:cstheme="minorHAnsi"/>
          <w:color w:val="0070C0"/>
          <w:sz w:val="28"/>
          <w:szCs w:val="28"/>
        </w:rPr>
      </w:pPr>
      <w:hyperlink r:id="rId21" w:history="1">
        <w:r w:rsidR="00A87BD0" w:rsidRPr="00170FFF">
          <w:rPr>
            <w:rStyle w:val="Hyperlink"/>
            <w:rFonts w:cstheme="minorHAnsi"/>
            <w:b/>
            <w:bCs/>
            <w:color w:val="0070C0"/>
            <w:sz w:val="28"/>
            <w:szCs w:val="28"/>
            <w:bdr w:val="none" w:sz="0" w:space="0" w:color="auto" w:frame="1"/>
          </w:rPr>
          <w:t xml:space="preserve">Αξιολογήσεις </w:t>
        </w:r>
        <w:proofErr w:type="spellStart"/>
        <w:r w:rsidR="00A87BD0" w:rsidRPr="00170FFF">
          <w:rPr>
            <w:rStyle w:val="Hyperlink"/>
            <w:rFonts w:cstheme="minorHAnsi"/>
            <w:b/>
            <w:bCs/>
            <w:color w:val="0070C0"/>
            <w:sz w:val="28"/>
            <w:szCs w:val="28"/>
            <w:bdr w:val="none" w:sz="0" w:space="0" w:color="auto" w:frame="1"/>
          </w:rPr>
          <w:t>καταλληλότητας</w:t>
        </w:r>
        <w:proofErr w:type="spellEnd"/>
      </w:hyperlink>
    </w:p>
    <w:p w:rsidR="00A87BD0" w:rsidRPr="00170FFF" w:rsidRDefault="00A87BD0" w:rsidP="00A87BD0">
      <w:pPr>
        <w:spacing w:line="276" w:lineRule="auto"/>
        <w:textAlignment w:val="baseline"/>
        <w:rPr>
          <w:rFonts w:cstheme="minorHAnsi"/>
          <w:b/>
          <w:bCs/>
          <w:color w:val="262626" w:themeColor="text1" w:themeTint="D9"/>
          <w:sz w:val="28"/>
          <w:szCs w:val="28"/>
        </w:rPr>
      </w:pPr>
      <w:r w:rsidRPr="00170FFF">
        <w:rPr>
          <w:rFonts w:cstheme="minorHAnsi"/>
          <w:b/>
          <w:bCs/>
          <w:color w:val="262626" w:themeColor="text1" w:themeTint="D9"/>
          <w:sz w:val="28"/>
          <w:szCs w:val="28"/>
        </w:rPr>
        <w:t>Διοικητική επανεξέταση</w:t>
      </w:r>
    </w:p>
    <w:p w:rsidR="00A87BD0" w:rsidRPr="00170FFF" w:rsidRDefault="00A87BD0" w:rsidP="00A87BD0">
      <w:pPr>
        <w:pStyle w:val="NormalWeb"/>
        <w:shd w:val="clear" w:color="auto" w:fill="FFFFFF"/>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Με επιφύλαξη του δικαιώματος προσφυγής στο Δικαστήριο της Ευρωπαϊκής Ένωσης, οι εποπτικές αποφάσεις της ΕΚΤ, μεταξύ άλλων αυτές που επιβάλλουν πρόστιμα και εποπτικά μέτρα, μπορεί να υποβληθούν σε επανεξέταση από το Διοικητικό Συμβούλιο Επανεξέτασης, κατόπιν αιτήματος της ενδιαφερόμενης τράπεζας.</w:t>
      </w:r>
    </w:p>
    <w:p w:rsidR="00A87BD0" w:rsidRDefault="003139F8" w:rsidP="00A87BD0">
      <w:pPr>
        <w:shd w:val="clear" w:color="auto" w:fill="FFFFFF"/>
        <w:spacing w:line="276" w:lineRule="auto"/>
        <w:textAlignment w:val="baseline"/>
        <w:rPr>
          <w:rStyle w:val="Hyperlink"/>
          <w:rFonts w:cstheme="minorHAnsi"/>
          <w:b/>
          <w:bCs/>
          <w:color w:val="0070C0"/>
          <w:sz w:val="28"/>
          <w:szCs w:val="28"/>
          <w:bdr w:val="none" w:sz="0" w:space="0" w:color="auto" w:frame="1"/>
        </w:rPr>
      </w:pPr>
      <w:hyperlink r:id="rId22" w:history="1">
        <w:r w:rsidR="00A87BD0" w:rsidRPr="00170FFF">
          <w:rPr>
            <w:rStyle w:val="Hyperlink"/>
            <w:rFonts w:cstheme="minorHAnsi"/>
            <w:b/>
            <w:bCs/>
            <w:color w:val="0070C0"/>
            <w:sz w:val="28"/>
            <w:szCs w:val="28"/>
            <w:bdr w:val="none" w:sz="0" w:space="0" w:color="auto" w:frame="1"/>
          </w:rPr>
          <w:t>Διοικητικό Συμβούλιο Επανεξέτασης</w:t>
        </w:r>
      </w:hyperlink>
    </w:p>
    <w:p w:rsidR="00170FFF" w:rsidRPr="00170FFF" w:rsidRDefault="00170FFF" w:rsidP="00A87BD0">
      <w:pPr>
        <w:shd w:val="clear" w:color="auto" w:fill="FFFFFF"/>
        <w:spacing w:line="276" w:lineRule="auto"/>
        <w:textAlignment w:val="baseline"/>
        <w:rPr>
          <w:rFonts w:cstheme="minorHAnsi"/>
          <w:color w:val="262626" w:themeColor="text1" w:themeTint="D9"/>
          <w:sz w:val="28"/>
          <w:szCs w:val="28"/>
        </w:rPr>
      </w:pPr>
    </w:p>
    <w:p w:rsidR="00A87BD0" w:rsidRPr="00170FFF" w:rsidRDefault="00A87BD0" w:rsidP="00A87BD0">
      <w:pPr>
        <w:spacing w:line="276" w:lineRule="auto"/>
        <w:textAlignment w:val="baseline"/>
        <w:rPr>
          <w:rFonts w:cstheme="minorHAnsi"/>
          <w:color w:val="262626" w:themeColor="text1" w:themeTint="D9"/>
          <w:sz w:val="28"/>
          <w:szCs w:val="28"/>
        </w:rPr>
      </w:pPr>
    </w:p>
    <w:p w:rsidR="00A87BD0" w:rsidRPr="00170FFF" w:rsidRDefault="00A87BD0" w:rsidP="00A87BD0">
      <w:pPr>
        <w:shd w:val="clear" w:color="auto" w:fill="F7F7F7"/>
        <w:spacing w:line="276" w:lineRule="auto"/>
        <w:jc w:val="center"/>
        <w:textAlignment w:val="baseline"/>
        <w:rPr>
          <w:rFonts w:cstheme="minorHAnsi"/>
          <w:b/>
          <w:bCs/>
          <w:color w:val="262626" w:themeColor="text1" w:themeTint="D9"/>
          <w:sz w:val="28"/>
          <w:szCs w:val="28"/>
        </w:rPr>
      </w:pPr>
      <w:r w:rsidRPr="00170FFF">
        <w:rPr>
          <w:rFonts w:cstheme="minorHAnsi"/>
          <w:b/>
          <w:bCs/>
          <w:color w:val="262626" w:themeColor="text1" w:themeTint="D9"/>
          <w:sz w:val="28"/>
          <w:szCs w:val="28"/>
        </w:rPr>
        <w:t>ΠΛΑΤΦOΡΜΕΣ ΕΠΙΚΟΙΝΩΝΙΑΣ</w:t>
      </w:r>
    </w:p>
    <w:p w:rsidR="00A87BD0" w:rsidRPr="00170FFF" w:rsidRDefault="00A87BD0" w:rsidP="00A87BD0">
      <w:pPr>
        <w:pStyle w:val="Heading2"/>
        <w:shd w:val="clear" w:color="auto" w:fill="F7F7F7"/>
        <w:spacing w:before="0" w:after="750" w:line="276" w:lineRule="auto"/>
        <w:jc w:val="center"/>
        <w:textAlignment w:val="baseline"/>
        <w:rPr>
          <w:rFonts w:asciiTheme="minorHAnsi" w:hAnsiTheme="minorHAnsi" w:cstheme="minorHAnsi"/>
          <w:b/>
          <w:bCs/>
          <w:color w:val="262626" w:themeColor="text1" w:themeTint="D9"/>
          <w:sz w:val="28"/>
          <w:szCs w:val="28"/>
        </w:rPr>
      </w:pPr>
      <w:r w:rsidRPr="00170FFF">
        <w:rPr>
          <w:rFonts w:asciiTheme="minorHAnsi" w:hAnsiTheme="minorHAnsi" w:cstheme="minorHAnsi"/>
          <w:b/>
          <w:bCs/>
          <w:color w:val="262626" w:themeColor="text1" w:themeTint="D9"/>
          <w:sz w:val="28"/>
          <w:szCs w:val="28"/>
        </w:rPr>
        <w:t>Μάθετε περισσότερα για το πώς μπορείτε να μας κοινοποιείτε πληροφορίες</w:t>
      </w:r>
    </w:p>
    <w:p w:rsidR="00A87BD0" w:rsidRPr="00170FFF" w:rsidRDefault="00A87BD0" w:rsidP="00A87BD0">
      <w:pPr>
        <w:pStyle w:val="Heading3"/>
        <w:shd w:val="clear" w:color="auto" w:fill="F7F7F7"/>
        <w:spacing w:before="0" w:after="300" w:line="276" w:lineRule="auto"/>
        <w:textAlignment w:val="baseline"/>
        <w:rPr>
          <w:rFonts w:asciiTheme="minorHAnsi" w:hAnsiTheme="minorHAnsi" w:cstheme="minorHAnsi"/>
          <w:b/>
          <w:bCs/>
          <w:color w:val="262626" w:themeColor="text1" w:themeTint="D9"/>
          <w:sz w:val="28"/>
          <w:szCs w:val="28"/>
        </w:rPr>
      </w:pPr>
      <w:r w:rsidRPr="00170FFF">
        <w:rPr>
          <w:rFonts w:asciiTheme="minorHAnsi" w:hAnsiTheme="minorHAnsi" w:cstheme="minorHAnsi"/>
          <w:color w:val="262626" w:themeColor="text1" w:themeTint="D9"/>
          <w:sz w:val="28"/>
          <w:szCs w:val="28"/>
        </w:rPr>
        <w:t>Διαδικτυακή πύλη της τραπεζικής εποπτείας</w:t>
      </w:r>
    </w:p>
    <w:p w:rsidR="00A87BD0" w:rsidRPr="00170FFF" w:rsidRDefault="00A87BD0" w:rsidP="00A87BD0">
      <w:pPr>
        <w:pStyle w:val="NormalWeb"/>
        <w:shd w:val="clear" w:color="auto" w:fill="F7F7F7"/>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Η διαδικτυακή πύλη δίνει στις τράπεζες πρόσβαση στις διαδικτυακές υπηρεσίες μας που αφορούν την τραπεζική εποπτεία. Μέσω της πύλης μπορείτε να υποβάλλετε πληροφορίες και να επικοινωνείτε με τους επόπτες.</w:t>
      </w:r>
    </w:p>
    <w:p w:rsidR="00A87BD0" w:rsidRPr="00170FFF" w:rsidRDefault="003139F8" w:rsidP="00A87BD0">
      <w:pPr>
        <w:shd w:val="clear" w:color="auto" w:fill="F7F7F7"/>
        <w:spacing w:line="276" w:lineRule="auto"/>
        <w:textAlignment w:val="baseline"/>
        <w:rPr>
          <w:rFonts w:cstheme="minorHAnsi"/>
          <w:color w:val="0070C0"/>
          <w:sz w:val="28"/>
          <w:szCs w:val="28"/>
        </w:rPr>
      </w:pPr>
      <w:hyperlink r:id="rId23" w:history="1">
        <w:r w:rsidR="00A87BD0" w:rsidRPr="00170FFF">
          <w:rPr>
            <w:rStyle w:val="Hyperlink"/>
            <w:rFonts w:cstheme="minorHAnsi"/>
            <w:b/>
            <w:bCs/>
            <w:color w:val="0070C0"/>
            <w:sz w:val="28"/>
            <w:szCs w:val="28"/>
            <w:bdr w:val="none" w:sz="0" w:space="0" w:color="auto" w:frame="1"/>
          </w:rPr>
          <w:t>Διαδικτυακή πύλη της τραπεζικής εποπτείας</w:t>
        </w:r>
      </w:hyperlink>
    </w:p>
    <w:p w:rsidR="00A87BD0" w:rsidRPr="00170FFF" w:rsidRDefault="00A87BD0" w:rsidP="00A87BD0">
      <w:pPr>
        <w:pStyle w:val="Heading3"/>
        <w:shd w:val="clear" w:color="auto" w:fill="F7F7F7"/>
        <w:spacing w:before="0" w:after="30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Πληροφοριοδότες δημόσιου συμφέροντος</w:t>
      </w:r>
    </w:p>
    <w:p w:rsidR="00A87BD0" w:rsidRPr="00170FFF" w:rsidRDefault="00A87BD0" w:rsidP="00A87BD0">
      <w:pPr>
        <w:pStyle w:val="NormalWeb"/>
        <w:shd w:val="clear" w:color="auto" w:fill="F7F7F7"/>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 xml:space="preserve">Χρησιμοποιήστε την πλατφόρμα πληροφοριοδοτών δημόσιου συμφέροντος για να καταγγείλετε παράβαση της νομοθεσίας της ΕΕ </w:t>
      </w:r>
      <w:r w:rsidRPr="00170FFF">
        <w:rPr>
          <w:rFonts w:asciiTheme="minorHAnsi" w:hAnsiTheme="minorHAnsi" w:cstheme="minorHAnsi"/>
          <w:color w:val="262626" w:themeColor="text1" w:themeTint="D9"/>
          <w:sz w:val="28"/>
          <w:szCs w:val="28"/>
        </w:rPr>
        <w:lastRenderedPageBreak/>
        <w:t>σχετικά με την τραπεζική εποπτεία την οποία υποπτεύεστε ότι διέπραξε εποπτευόμενη τράπεζα, εθνική εποπτική αρχή ή η ΕΚΤ.</w:t>
      </w:r>
    </w:p>
    <w:p w:rsidR="00A87BD0" w:rsidRPr="00170FFF" w:rsidRDefault="00A87BD0" w:rsidP="00A87BD0">
      <w:pPr>
        <w:spacing w:line="276" w:lineRule="auto"/>
        <w:rPr>
          <w:rFonts w:cstheme="minorHAnsi"/>
          <w:color w:val="262626" w:themeColor="text1" w:themeTint="D9"/>
          <w:sz w:val="28"/>
          <w:szCs w:val="28"/>
        </w:rPr>
      </w:pPr>
    </w:p>
    <w:p w:rsidR="00A87BD0" w:rsidRPr="00170FFF" w:rsidRDefault="00A87BD0" w:rsidP="00A87BD0">
      <w:pPr>
        <w:pStyle w:val="Heading1"/>
        <w:shd w:val="clear" w:color="auto" w:fill="FFFFFF"/>
        <w:spacing w:before="0" w:beforeAutospacing="0" w:after="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Ασκήσεις προσομοίωσης ακραίων καταστάσεων</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Η ευρωπαϊκή τραπεζική εποπτεία χρησιμοποιεί τις ασκήσεις προσομοίωσης ακραίων καταστάσεων για να αξιολογήσει πόσο καλά προετοιμασμένες είναι οι τράπεζες για να αντιμετωπίσουν χρηματοπιστωτικές και οικονομικές διαταραχές. Τα αποτελέσματα των ασκήσεων αυτών βοηθούν τους επόπτες να εντοπίζουν τις ευπάθειες και να τις αντιμετωπίζουν αρκετά νωρίς στο πλαίσιο του εποπτικού διαλόγου με τις τράπεζες.</w:t>
      </w:r>
    </w:p>
    <w:p w:rsidR="00A87BD0" w:rsidRPr="00170FFF" w:rsidRDefault="00A87BD0" w:rsidP="00A87BD0">
      <w:pPr>
        <w:pStyle w:val="Heading2"/>
        <w:spacing w:before="750" w:after="30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Είδη ασκήσεων προσομοίωσης ακραίων καταστάσεων</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Η ΕΚΤ διενεργεί διάφορα είδη ασκήσεων προσομοίωσης ακραίων καταστάσεων:</w:t>
      </w:r>
    </w:p>
    <w:p w:rsidR="00A87BD0" w:rsidRPr="00170FFF" w:rsidRDefault="00A87BD0" w:rsidP="00A87BD0">
      <w:pPr>
        <w:numPr>
          <w:ilvl w:val="0"/>
          <w:numId w:val="4"/>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Ετήσιες ασκήσεις προσομοίωσης ακραίων καταστάσεων</w:t>
      </w:r>
    </w:p>
    <w:p w:rsidR="00A87BD0" w:rsidRPr="00170FFF" w:rsidRDefault="00A87BD0" w:rsidP="00A87BD0">
      <w:pPr>
        <w:numPr>
          <w:ilvl w:val="1"/>
          <w:numId w:val="4"/>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Ασκήσεις προσομοίωσης ακραίων καταστάσεων για ολόκληρη την ΕΕ που συντονίζει η Ευρωπαϊκή Αρχή Τραπεζών (ΕΑΤ), οι οποίες συμπληρώνονται με την άσκηση προσομοίωσης ακραίων καταστάσεων της ΕΚΤ στο πλαίσιο της </w:t>
      </w:r>
      <w:hyperlink r:id="rId24" w:history="1">
        <w:r w:rsidRPr="00170FFF">
          <w:rPr>
            <w:rStyle w:val="Hyperlink"/>
            <w:rFonts w:cstheme="minorHAnsi"/>
            <w:color w:val="0070C0"/>
            <w:sz w:val="28"/>
            <w:szCs w:val="28"/>
            <w:bdr w:val="none" w:sz="0" w:space="0" w:color="auto" w:frame="1"/>
          </w:rPr>
          <w:t>διαδικασίας εποπτικού ελέγχου και αξιολόγησης</w:t>
        </w:r>
      </w:hyperlink>
      <w:r w:rsidRPr="00170FFF">
        <w:rPr>
          <w:rFonts w:cstheme="minorHAnsi"/>
          <w:color w:val="262626" w:themeColor="text1" w:themeTint="D9"/>
          <w:sz w:val="28"/>
          <w:szCs w:val="28"/>
        </w:rPr>
        <w:t> (</w:t>
      </w:r>
      <w:proofErr w:type="spellStart"/>
      <w:r w:rsidRPr="00170FFF">
        <w:rPr>
          <w:rFonts w:cstheme="minorHAnsi"/>
          <w:color w:val="262626" w:themeColor="text1" w:themeTint="D9"/>
          <w:sz w:val="28"/>
          <w:szCs w:val="28"/>
        </w:rPr>
        <w:t>Supervisory</w:t>
      </w:r>
      <w:proofErr w:type="spellEnd"/>
      <w:r w:rsidRPr="00170FFF">
        <w:rPr>
          <w:rFonts w:cstheme="minorHAnsi"/>
          <w:color w:val="262626" w:themeColor="text1" w:themeTint="D9"/>
          <w:sz w:val="28"/>
          <w:szCs w:val="28"/>
        </w:rPr>
        <w:t xml:space="preserve"> Review and </w:t>
      </w:r>
      <w:proofErr w:type="spellStart"/>
      <w:r w:rsidRPr="00170FFF">
        <w:rPr>
          <w:rFonts w:cstheme="minorHAnsi"/>
          <w:color w:val="262626" w:themeColor="text1" w:themeTint="D9"/>
          <w:sz w:val="28"/>
          <w:szCs w:val="28"/>
        </w:rPr>
        <w:t>Evaluation</w:t>
      </w:r>
      <w:proofErr w:type="spellEnd"/>
      <w:r w:rsidRPr="00170FFF">
        <w:rPr>
          <w:rFonts w:cstheme="minorHAnsi"/>
          <w:color w:val="262626" w:themeColor="text1" w:themeTint="D9"/>
          <w:sz w:val="28"/>
          <w:szCs w:val="28"/>
        </w:rPr>
        <w:t xml:space="preserve"> </w:t>
      </w:r>
      <w:proofErr w:type="spellStart"/>
      <w:r w:rsidRPr="00170FFF">
        <w:rPr>
          <w:rFonts w:cstheme="minorHAnsi"/>
          <w:color w:val="262626" w:themeColor="text1" w:themeTint="D9"/>
          <w:sz w:val="28"/>
          <w:szCs w:val="28"/>
        </w:rPr>
        <w:t>Process</w:t>
      </w:r>
      <w:proofErr w:type="spellEnd"/>
      <w:r w:rsidRPr="00170FFF">
        <w:rPr>
          <w:rFonts w:cstheme="minorHAnsi"/>
          <w:color w:val="262626" w:themeColor="text1" w:themeTint="D9"/>
          <w:sz w:val="28"/>
          <w:szCs w:val="28"/>
        </w:rPr>
        <w:t xml:space="preserve"> - SREP).</w:t>
      </w:r>
    </w:p>
    <w:p w:rsidR="00A87BD0" w:rsidRPr="00170FFF" w:rsidRDefault="00A87BD0" w:rsidP="00A87BD0">
      <w:pPr>
        <w:numPr>
          <w:ilvl w:val="1"/>
          <w:numId w:val="4"/>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Θεματικές ασκήσεις προσομοίωσης ακραίων καταστάσεων</w:t>
      </w:r>
    </w:p>
    <w:p w:rsidR="00A87BD0" w:rsidRPr="00170FFF" w:rsidRDefault="00A87BD0" w:rsidP="00A87BD0">
      <w:pPr>
        <w:numPr>
          <w:ilvl w:val="1"/>
          <w:numId w:val="4"/>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Προσανατολισμένες προς το μέλλον αναλύσεις ευπαθειών</w:t>
      </w:r>
    </w:p>
    <w:p w:rsidR="00A87BD0" w:rsidRPr="00170FFF" w:rsidRDefault="00A87BD0" w:rsidP="00A87BD0">
      <w:pPr>
        <w:numPr>
          <w:ilvl w:val="0"/>
          <w:numId w:val="4"/>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Ασκήσεις προσομοίωσης ακραίων καταστάσεων στο πλαίσιο </w:t>
      </w:r>
      <w:hyperlink r:id="rId25" w:history="1">
        <w:r w:rsidRPr="00170FFF">
          <w:rPr>
            <w:rStyle w:val="Hyperlink"/>
            <w:rFonts w:cstheme="minorHAnsi"/>
            <w:color w:val="0070C0"/>
            <w:sz w:val="28"/>
            <w:szCs w:val="28"/>
            <w:bdr w:val="none" w:sz="0" w:space="0" w:color="auto" w:frame="1"/>
          </w:rPr>
          <w:t>συνολικών αξιολογήσεων</w:t>
        </w:r>
      </w:hyperlink>
      <w:r w:rsidRPr="00170FFF">
        <w:rPr>
          <w:rFonts w:cstheme="minorHAnsi"/>
          <w:color w:val="262626" w:themeColor="text1" w:themeTint="D9"/>
          <w:sz w:val="28"/>
          <w:szCs w:val="28"/>
        </w:rPr>
        <w:t> </w:t>
      </w:r>
    </w:p>
    <w:p w:rsidR="00A87BD0" w:rsidRPr="00170FFF" w:rsidRDefault="00A87BD0" w:rsidP="00A87BD0">
      <w:pPr>
        <w:numPr>
          <w:ilvl w:val="0"/>
          <w:numId w:val="4"/>
        </w:numPr>
        <w:spacing w:after="0" w:line="276" w:lineRule="auto"/>
        <w:ind w:left="0"/>
        <w:textAlignment w:val="baseline"/>
        <w:rPr>
          <w:rFonts w:cstheme="minorHAnsi"/>
          <w:color w:val="262626" w:themeColor="text1" w:themeTint="D9"/>
          <w:sz w:val="28"/>
          <w:szCs w:val="28"/>
        </w:rPr>
      </w:pPr>
      <w:r w:rsidRPr="00170FFF">
        <w:rPr>
          <w:rFonts w:cstheme="minorHAnsi"/>
          <w:color w:val="262626" w:themeColor="text1" w:themeTint="D9"/>
          <w:sz w:val="28"/>
          <w:szCs w:val="28"/>
        </w:rPr>
        <w:t xml:space="preserve">Ασκήσεις προσομοίωσης ακραίων καταστάσεων για </w:t>
      </w:r>
      <w:proofErr w:type="spellStart"/>
      <w:r w:rsidRPr="00170FFF">
        <w:rPr>
          <w:rFonts w:cstheme="minorHAnsi"/>
          <w:color w:val="262626" w:themeColor="text1" w:themeTint="D9"/>
          <w:sz w:val="28"/>
          <w:szCs w:val="28"/>
        </w:rPr>
        <w:t>μακροπροληπτικούς</w:t>
      </w:r>
      <w:proofErr w:type="spellEnd"/>
      <w:r w:rsidRPr="00170FFF">
        <w:rPr>
          <w:rFonts w:cstheme="minorHAnsi"/>
          <w:color w:val="262626" w:themeColor="text1" w:themeTint="D9"/>
          <w:sz w:val="28"/>
          <w:szCs w:val="28"/>
        </w:rPr>
        <w:t xml:space="preserve"> σκοπούς (με επίκεντρο τη χρηματοπιστωτική σταθερότητα και τις επιδράσεις σε επίπεδο συστήματος και όχι τις επιμέρους τράπεζες)</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lastRenderedPageBreak/>
        <w:t>Πέραν των παραπάνω, μπορούν επίσης να διενεργηθούν ειδικές ασκήσεις προσομοίωσης ακραίων καταστάσεων σε επιμέρους τράπεζες ή ομίλους τραπεζών.</w:t>
      </w:r>
    </w:p>
    <w:p w:rsidR="00A87BD0" w:rsidRPr="00170FFF" w:rsidRDefault="00A87BD0" w:rsidP="00A87BD0">
      <w:pPr>
        <w:pStyle w:val="Heading2"/>
        <w:spacing w:before="0" w:after="30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Ετήσιες ασκήσεις προσομοίωσης ακραίων καταστάσεων</w:t>
      </w:r>
    </w:p>
    <w:p w:rsidR="00A87BD0" w:rsidRPr="00170FFF" w:rsidRDefault="00A87BD0" w:rsidP="00A87BD0">
      <w:pPr>
        <w:pStyle w:val="NormalWeb"/>
        <w:spacing w:before="0" w:beforeAutospacing="0" w:after="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 xml:space="preserve">Η </w:t>
      </w:r>
      <w:proofErr w:type="spellStart"/>
      <w:r w:rsidRPr="00170FFF">
        <w:rPr>
          <w:rFonts w:asciiTheme="minorHAnsi" w:hAnsiTheme="minorHAnsi" w:cstheme="minorHAnsi"/>
          <w:color w:val="262626" w:themeColor="text1" w:themeTint="D9"/>
          <w:sz w:val="28"/>
          <w:szCs w:val="28"/>
        </w:rPr>
        <w:t>ενωσιακή</w:t>
      </w:r>
      <w:proofErr w:type="spellEnd"/>
      <w:r w:rsidRPr="00170FFF">
        <w:rPr>
          <w:rFonts w:asciiTheme="minorHAnsi" w:hAnsiTheme="minorHAnsi" w:cstheme="minorHAnsi"/>
          <w:color w:val="262626" w:themeColor="text1" w:themeTint="D9"/>
          <w:sz w:val="28"/>
          <w:szCs w:val="28"/>
        </w:rPr>
        <w:t xml:space="preserve"> νομοθεσία απαιτεί από την ΕΚΤ να διενεργεί ασκήσεις προσομοίωσης ακραίων καταστάσεων στις </w:t>
      </w:r>
      <w:hyperlink r:id="rId26" w:history="1">
        <w:r w:rsidRPr="00170FFF">
          <w:rPr>
            <w:rStyle w:val="Hyperlink"/>
            <w:rFonts w:asciiTheme="minorHAnsi" w:eastAsiaTheme="majorEastAsia" w:hAnsiTheme="minorHAnsi" w:cstheme="minorHAnsi"/>
            <w:color w:val="0070C0"/>
            <w:sz w:val="28"/>
            <w:szCs w:val="28"/>
            <w:bdr w:val="none" w:sz="0" w:space="0" w:color="auto" w:frame="1"/>
          </w:rPr>
          <w:t>εποπτευόμενες τράπεζες</w:t>
        </w:r>
      </w:hyperlink>
      <w:r w:rsidRPr="00170FFF">
        <w:rPr>
          <w:rFonts w:asciiTheme="minorHAnsi" w:hAnsiTheme="minorHAnsi" w:cstheme="minorHAnsi"/>
          <w:color w:val="262626" w:themeColor="text1" w:themeTint="D9"/>
          <w:sz w:val="28"/>
          <w:szCs w:val="28"/>
        </w:rPr>
        <w:t> τουλάχιστον μία φορά ετησίως. Τα αποτελέσματα αυτών των ασκήσεων συνεισφέρουν σημαντικά στη διαδικασία SREP στο αντίστοιχο έτος.</w:t>
      </w:r>
    </w:p>
    <w:p w:rsidR="00A87BD0" w:rsidRPr="00170FFF" w:rsidRDefault="003139F8" w:rsidP="00A87BD0">
      <w:pPr>
        <w:spacing w:line="276" w:lineRule="auto"/>
        <w:textAlignment w:val="baseline"/>
        <w:rPr>
          <w:rFonts w:cstheme="minorHAnsi"/>
          <w:color w:val="0070C0"/>
          <w:sz w:val="28"/>
          <w:szCs w:val="28"/>
        </w:rPr>
      </w:pPr>
      <w:hyperlink r:id="rId27" w:history="1">
        <w:r w:rsidR="00A87BD0" w:rsidRPr="00170FFF">
          <w:rPr>
            <w:rStyle w:val="Hyperlink"/>
            <w:rFonts w:cstheme="minorHAnsi"/>
            <w:b/>
            <w:bCs/>
            <w:color w:val="0070C0"/>
            <w:sz w:val="28"/>
            <w:szCs w:val="28"/>
            <w:bdr w:val="none" w:sz="0" w:space="0" w:color="auto" w:frame="1"/>
          </w:rPr>
          <w:t>Οδηγία για τις κεφαλαιακές απαιτήσεις (άρθρο 100)</w:t>
        </w:r>
      </w:hyperlink>
    </w:p>
    <w:p w:rsidR="00A87BD0" w:rsidRPr="00170FFF" w:rsidRDefault="00A87BD0" w:rsidP="00A87BD0">
      <w:pPr>
        <w:pStyle w:val="Heading3"/>
        <w:spacing w:before="750" w:after="30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Ασκήσεις προσομοίωσης ακραίων καταστάσεων της ΕΑΤ σε επίπεδο ΕΕ και ασκήσεις προσομοίωσης ακραίων καταστάσεων στο πλαίσιο της SREP</w:t>
      </w:r>
    </w:p>
    <w:p w:rsidR="00A87BD0" w:rsidRPr="00170FFF" w:rsidRDefault="00A87BD0" w:rsidP="00A87BD0">
      <w:pPr>
        <w:pStyle w:val="NormalWeb"/>
        <w:spacing w:before="0" w:beforeAutospacing="0" w:after="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Κάθε δύο έτη η ΕΑΤ διενεργεί άσκηση προσομοίωσης ακραίων καταστάσεων σε επίπεδο ΕΕ σε συνεργασία με την ΕΚΤ, το Ευρωπαϊκό Συμβούλιο Συστημικού Κινδύνου (ΕΣΣΚ) και τις εθνικές εποπτικές αρχές. Η άσκηση καλύπτει τις μεγαλύτερες σημαντικές τράπεζες που εποπτεύονται άμεσα από την ΕΚΤ. Η άσκηση χρησιμοποιεί τη μεθοδολογία και τα υποδείγματα της ΕΑΤ, καθώς και τα </w:t>
      </w:r>
      <w:hyperlink r:id="rId28" w:history="1">
        <w:r w:rsidRPr="00170FFF">
          <w:rPr>
            <w:rStyle w:val="Hyperlink"/>
            <w:rFonts w:asciiTheme="minorHAnsi" w:eastAsiaTheme="majorEastAsia" w:hAnsiTheme="minorHAnsi" w:cstheme="minorHAnsi"/>
            <w:color w:val="0070C0"/>
            <w:sz w:val="28"/>
            <w:szCs w:val="28"/>
            <w:bdr w:val="none" w:sz="0" w:space="0" w:color="auto" w:frame="1"/>
          </w:rPr>
          <w:t>σενάρια που παρέχει το ΕΣΣΚ</w:t>
        </w:r>
      </w:hyperlink>
      <w:r w:rsidRPr="00170FFF">
        <w:rPr>
          <w:rFonts w:asciiTheme="minorHAnsi" w:hAnsiTheme="minorHAnsi" w:cstheme="minorHAnsi"/>
          <w:color w:val="262626" w:themeColor="text1" w:themeTint="D9"/>
          <w:sz w:val="28"/>
          <w:szCs w:val="28"/>
        </w:rPr>
        <w:t>. Τόσο τα συγκεντρωτικά όσο και τα επιμέρους αποτελέσματα δημοσιεύονται από την ΕΑΤ.</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Τα έτη κατά τα οποία η ΕΑΤ διενεργεί αυτή την άσκηση σε επίπεδο ΕΕ, η ΕΚΤ διενεργεί δική της άσκηση προσομοίωσης για τις τράπεζες υπό την άμεση εποπτεία της οι οποίες δεν συμμετέχουν στην αντίστοιχη άσκηση της ΕΑΤ σε επίπεδο ΕΕ. Σε αυτήν την παράλληλη άσκηση η οποία είναι μέρος του ετήσιου κύκλου της SREP χρησιμοποιείται η μεθοδολογία της ΕΑΤ, με τις απαραίτητες προσαρμογές για τις μικρότερες τράπεζες ώστε να εξασφαλίζεται μεταχείριση βάσει αναλογικότητας. Τα αποτελέσματα δημοσιεύονται από την ΕΚΤ.</w:t>
      </w:r>
    </w:p>
    <w:p w:rsidR="00A87BD0" w:rsidRDefault="00A87BD0" w:rsidP="00A87BD0">
      <w:pPr>
        <w:pStyle w:val="NormalWeb"/>
        <w:spacing w:before="0" w:beforeAutospacing="0" w:after="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lastRenderedPageBreak/>
        <w:t>Το 2023 η ΕΚΤ εξέτασε 57 από τις μεγαλύτερες τράπεζες της ζώνης του ευρώ στο πλαίσιο της άσκησης προσομοίωσης ακραίων καταστάσεων σε επίπεδο ΕΕ την οποία συντονίζει η ΕΑΤ. Η ΕΑΤ δημοσίευσε τα αποτελέσματα για τις επιμέρους τράπεζες τον Ιούλιο του 2023. Παράλληλα, η ΕΚΤ διενήργησε τη δική της άσκηση προσομοίωσης ακραίων καταστάσεων για άλλες 41 μικρότερες τράπεζες οι οποίες βρίσκονται υπό την άμεση εποπτεία της και δεν περιλαμβάνονταν στην άσκηση της ΕΑΤ. Τα συγκεντρωτικά αποτελέσματα και επιλεγμένες πληροφορίες για κάθε τράπεζα δημοσιεύθηκαν από την ΕΚΤ τον Ιούλιο του 2023. Συνολικά, οι τράπεζες που υποβλήθηκαν σε άσκηση προσομοίωσης ακραίων καταστάσεων καλύπτουν σε γενικές γραμμές το 80% του τραπεζικού τομέα της ζώνης του ευρώ.</w:t>
      </w:r>
    </w:p>
    <w:p w:rsidR="00170FFF" w:rsidRPr="00170FFF" w:rsidRDefault="00170FFF" w:rsidP="00A87BD0">
      <w:pPr>
        <w:pStyle w:val="NormalWeb"/>
        <w:spacing w:before="0" w:beforeAutospacing="0" w:after="0" w:afterAutospacing="0" w:line="276" w:lineRule="auto"/>
        <w:textAlignment w:val="baseline"/>
        <w:rPr>
          <w:rFonts w:asciiTheme="minorHAnsi" w:hAnsiTheme="minorHAnsi" w:cstheme="minorHAnsi"/>
          <w:color w:val="262626" w:themeColor="text1" w:themeTint="D9"/>
          <w:sz w:val="28"/>
          <w:szCs w:val="28"/>
        </w:rPr>
      </w:pPr>
    </w:p>
    <w:p w:rsidR="00A87BD0" w:rsidRPr="00170FFF" w:rsidRDefault="00A87BD0" w:rsidP="00A87BD0">
      <w:pPr>
        <w:shd w:val="clear" w:color="auto" w:fill="FFFFFF"/>
        <w:spacing w:line="276" w:lineRule="auto"/>
        <w:textAlignment w:val="baseline"/>
        <w:rPr>
          <w:rFonts w:cstheme="minorHAnsi"/>
          <w:b/>
          <w:bCs/>
          <w:color w:val="262626" w:themeColor="text1" w:themeTint="D9"/>
          <w:sz w:val="28"/>
          <w:szCs w:val="28"/>
        </w:rPr>
      </w:pPr>
      <w:r w:rsidRPr="00170FFF">
        <w:rPr>
          <w:rFonts w:cstheme="minorHAnsi"/>
          <w:b/>
          <w:bCs/>
          <w:color w:val="262626" w:themeColor="text1" w:themeTint="D9"/>
          <w:sz w:val="28"/>
          <w:szCs w:val="28"/>
        </w:rPr>
        <w:t>Ασκήσεις προσομοίωσης ακραίων καταστάσεων της ΕΑΤ και στο πλαίσιο της SREP για το 2023 – ολοκληρώθηκαν</w:t>
      </w:r>
    </w:p>
    <w:p w:rsidR="00A87BD0" w:rsidRPr="00170FFF" w:rsidRDefault="00A87BD0" w:rsidP="00A87BD0">
      <w:pPr>
        <w:shd w:val="clear" w:color="auto" w:fill="FFFFFF"/>
        <w:spacing w:line="276" w:lineRule="auto"/>
        <w:textAlignment w:val="baseline"/>
        <w:rPr>
          <w:rFonts w:cstheme="minorHAnsi"/>
          <w:b/>
          <w:bCs/>
          <w:color w:val="262626" w:themeColor="text1" w:themeTint="D9"/>
          <w:sz w:val="28"/>
          <w:szCs w:val="28"/>
        </w:rPr>
      </w:pPr>
      <w:r w:rsidRPr="00170FFF">
        <w:rPr>
          <w:rFonts w:cstheme="minorHAnsi"/>
          <w:b/>
          <w:bCs/>
          <w:color w:val="262626" w:themeColor="text1" w:themeTint="D9"/>
          <w:sz w:val="28"/>
          <w:szCs w:val="28"/>
        </w:rPr>
        <w:t>Ασκήσεις προσομοίωσης ακραίων καταστάσεων της ΕΑΤ και στο πλαίσιο της SREP για το 2021 – ολοκληρώθηκαν</w:t>
      </w:r>
    </w:p>
    <w:p w:rsidR="00A87BD0" w:rsidRPr="00170FFF" w:rsidRDefault="00A87BD0" w:rsidP="00A87BD0">
      <w:pPr>
        <w:shd w:val="clear" w:color="auto" w:fill="FFFFFF"/>
        <w:spacing w:line="276" w:lineRule="auto"/>
        <w:textAlignment w:val="baseline"/>
        <w:rPr>
          <w:rFonts w:cstheme="minorHAnsi"/>
          <w:b/>
          <w:bCs/>
          <w:color w:val="262626" w:themeColor="text1" w:themeTint="D9"/>
          <w:sz w:val="28"/>
          <w:szCs w:val="28"/>
        </w:rPr>
      </w:pPr>
      <w:r w:rsidRPr="00170FFF">
        <w:rPr>
          <w:rFonts w:cstheme="minorHAnsi"/>
          <w:b/>
          <w:bCs/>
          <w:color w:val="262626" w:themeColor="text1" w:themeTint="D9"/>
          <w:sz w:val="28"/>
          <w:szCs w:val="28"/>
        </w:rPr>
        <w:t>Ασκήσεις προσομοίωσης ακραίων καταστάσεων της ΕΑΤ και στο πλαίσιο της SREP για το 2020 – αναβλήθηκαν μέχρι το 2021</w:t>
      </w:r>
    </w:p>
    <w:p w:rsidR="00A87BD0" w:rsidRDefault="00A87BD0" w:rsidP="00A87BD0">
      <w:pPr>
        <w:shd w:val="clear" w:color="auto" w:fill="FFFFFF"/>
        <w:spacing w:line="276" w:lineRule="auto"/>
        <w:textAlignment w:val="baseline"/>
        <w:rPr>
          <w:rFonts w:cstheme="minorHAnsi"/>
          <w:b/>
          <w:bCs/>
          <w:color w:val="262626" w:themeColor="text1" w:themeTint="D9"/>
          <w:sz w:val="28"/>
          <w:szCs w:val="28"/>
        </w:rPr>
      </w:pPr>
      <w:r w:rsidRPr="00170FFF">
        <w:rPr>
          <w:rFonts w:cstheme="minorHAnsi"/>
          <w:b/>
          <w:bCs/>
          <w:color w:val="262626" w:themeColor="text1" w:themeTint="D9"/>
          <w:sz w:val="28"/>
          <w:szCs w:val="28"/>
        </w:rPr>
        <w:t>Ασκήσεις προσομοίωσης ακραίων καταστάσεων της ΕΑΤ και στο πλαίσιο της SREP για το 2018 – ολοκληρώθηκαν</w:t>
      </w:r>
    </w:p>
    <w:p w:rsidR="00170FFF" w:rsidRPr="00170FFF" w:rsidRDefault="00170FFF" w:rsidP="00A87BD0">
      <w:pPr>
        <w:shd w:val="clear" w:color="auto" w:fill="FFFFFF"/>
        <w:spacing w:line="276" w:lineRule="auto"/>
        <w:textAlignment w:val="baseline"/>
        <w:rPr>
          <w:rFonts w:cstheme="minorHAnsi"/>
          <w:b/>
          <w:bCs/>
          <w:color w:val="262626" w:themeColor="text1" w:themeTint="D9"/>
          <w:sz w:val="28"/>
          <w:szCs w:val="28"/>
        </w:rPr>
      </w:pPr>
    </w:p>
    <w:p w:rsidR="00A87BD0" w:rsidRPr="00170FFF" w:rsidRDefault="00A87BD0" w:rsidP="00A87BD0">
      <w:pPr>
        <w:pStyle w:val="Heading3"/>
        <w:spacing w:before="0" w:after="300" w:line="276" w:lineRule="auto"/>
        <w:textAlignment w:val="baseline"/>
        <w:rPr>
          <w:rFonts w:asciiTheme="minorHAnsi" w:hAnsiTheme="minorHAnsi" w:cstheme="minorHAnsi"/>
          <w:b/>
          <w:bCs/>
          <w:color w:val="262626" w:themeColor="text1" w:themeTint="D9"/>
          <w:sz w:val="28"/>
          <w:szCs w:val="28"/>
        </w:rPr>
      </w:pPr>
      <w:r w:rsidRPr="00170FFF">
        <w:rPr>
          <w:rFonts w:asciiTheme="minorHAnsi" w:hAnsiTheme="minorHAnsi" w:cstheme="minorHAnsi"/>
          <w:b/>
          <w:color w:val="262626" w:themeColor="text1" w:themeTint="D9"/>
          <w:sz w:val="28"/>
          <w:szCs w:val="28"/>
        </w:rPr>
        <w:t>Θεματικές ασκήσεις προσομοίωσης ακραίων καταστάσεων</w:t>
      </w:r>
    </w:p>
    <w:p w:rsidR="00A87BD0" w:rsidRDefault="00A87BD0" w:rsidP="00A87BD0">
      <w:pPr>
        <w:pStyle w:val="NormalWeb"/>
        <w:spacing w:before="0" w:beforeAutospacing="0" w:after="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Τα έτη που δεν πραγματοποιείται άσκηση προσομοίωσης ακραίων καταστάσεων της ΕΑΤ σε επίπεδο ΕΕ, η ΕΚΤ υποβάλλει τα σημαντικά ιδρύματα υπό την άμεση εποπτεία της σε άσκηση προσομοίωσης συγκεκριμένου είδους διαταραχής. Αυτές οι ασκήσεις διενεργούνται σε συνεργασία με τις εθνικές εποπτικές αρχές και η ΕΚΤ δημοσιεύει τα αποτελέσματα σε συγκεντρωτική βάση.</w:t>
      </w:r>
    </w:p>
    <w:p w:rsidR="00170FFF" w:rsidRPr="00170FFF" w:rsidRDefault="00170FFF" w:rsidP="00A87BD0">
      <w:pPr>
        <w:pStyle w:val="NormalWeb"/>
        <w:spacing w:before="0" w:beforeAutospacing="0" w:after="0" w:afterAutospacing="0" w:line="276" w:lineRule="auto"/>
        <w:textAlignment w:val="baseline"/>
        <w:rPr>
          <w:rFonts w:asciiTheme="minorHAnsi" w:hAnsiTheme="minorHAnsi" w:cstheme="minorHAnsi"/>
          <w:color w:val="262626" w:themeColor="text1" w:themeTint="D9"/>
          <w:sz w:val="28"/>
          <w:szCs w:val="28"/>
        </w:rPr>
      </w:pPr>
    </w:p>
    <w:p w:rsidR="00A87BD0" w:rsidRPr="00170FFF" w:rsidRDefault="00A87BD0" w:rsidP="00A87BD0">
      <w:pPr>
        <w:shd w:val="clear" w:color="auto" w:fill="FFFFFF"/>
        <w:spacing w:line="276" w:lineRule="auto"/>
        <w:textAlignment w:val="baseline"/>
        <w:rPr>
          <w:rFonts w:cstheme="minorHAnsi"/>
          <w:b/>
          <w:bCs/>
          <w:color w:val="262626" w:themeColor="text1" w:themeTint="D9"/>
          <w:sz w:val="28"/>
          <w:szCs w:val="28"/>
        </w:rPr>
      </w:pPr>
      <w:r w:rsidRPr="00170FFF">
        <w:rPr>
          <w:rFonts w:cstheme="minorHAnsi"/>
          <w:b/>
          <w:bCs/>
          <w:color w:val="262626" w:themeColor="text1" w:themeTint="D9"/>
          <w:sz w:val="28"/>
          <w:szCs w:val="28"/>
        </w:rPr>
        <w:t xml:space="preserve">Άσκηση προσομοίωσης ακραίων καταστάσεων για την ανθεκτικότητα έναντι </w:t>
      </w:r>
      <w:proofErr w:type="spellStart"/>
      <w:r w:rsidRPr="00170FFF">
        <w:rPr>
          <w:rFonts w:cstheme="minorHAnsi"/>
          <w:b/>
          <w:bCs/>
          <w:color w:val="262626" w:themeColor="text1" w:themeTint="D9"/>
          <w:sz w:val="28"/>
          <w:szCs w:val="28"/>
        </w:rPr>
        <w:t>κυβερνοαπειλών</w:t>
      </w:r>
      <w:proofErr w:type="spellEnd"/>
      <w:r w:rsidRPr="00170FFF">
        <w:rPr>
          <w:rFonts w:cstheme="minorHAnsi"/>
          <w:b/>
          <w:bCs/>
          <w:color w:val="262626" w:themeColor="text1" w:themeTint="D9"/>
          <w:sz w:val="28"/>
          <w:szCs w:val="28"/>
        </w:rPr>
        <w:t xml:space="preserve"> για το 2024 – υπό σχεδιασμό</w:t>
      </w:r>
    </w:p>
    <w:p w:rsidR="00A87BD0" w:rsidRPr="00170FFF" w:rsidRDefault="00A87BD0" w:rsidP="00A87BD0">
      <w:pPr>
        <w:shd w:val="clear" w:color="auto" w:fill="FFFFFF"/>
        <w:spacing w:line="276" w:lineRule="auto"/>
        <w:textAlignment w:val="baseline"/>
        <w:rPr>
          <w:rFonts w:cstheme="minorHAnsi"/>
          <w:b/>
          <w:bCs/>
          <w:color w:val="262626" w:themeColor="text1" w:themeTint="D9"/>
          <w:sz w:val="28"/>
          <w:szCs w:val="28"/>
        </w:rPr>
      </w:pPr>
      <w:r w:rsidRPr="00170FFF">
        <w:rPr>
          <w:rFonts w:cstheme="minorHAnsi"/>
          <w:b/>
          <w:bCs/>
          <w:color w:val="262626" w:themeColor="text1" w:themeTint="D9"/>
          <w:sz w:val="28"/>
          <w:szCs w:val="28"/>
        </w:rPr>
        <w:lastRenderedPageBreak/>
        <w:t>Άσκηση προσομοίωσης ακραίων καταστάσεων σε σχέση με τους κλιματικούς κινδύνους για το 2022 – ολοκληρώθηκε</w:t>
      </w:r>
    </w:p>
    <w:p w:rsidR="00A87BD0" w:rsidRPr="00170FFF" w:rsidRDefault="00A87BD0" w:rsidP="00A87BD0">
      <w:pPr>
        <w:shd w:val="clear" w:color="auto" w:fill="FFFFFF"/>
        <w:spacing w:line="276" w:lineRule="auto"/>
        <w:textAlignment w:val="baseline"/>
        <w:rPr>
          <w:rFonts w:cstheme="minorHAnsi"/>
          <w:b/>
          <w:bCs/>
          <w:color w:val="262626" w:themeColor="text1" w:themeTint="D9"/>
          <w:sz w:val="28"/>
          <w:szCs w:val="28"/>
        </w:rPr>
      </w:pPr>
      <w:r w:rsidRPr="00170FFF">
        <w:rPr>
          <w:rFonts w:cstheme="minorHAnsi"/>
          <w:b/>
          <w:bCs/>
          <w:color w:val="262626" w:themeColor="text1" w:themeTint="D9"/>
          <w:sz w:val="28"/>
          <w:szCs w:val="28"/>
        </w:rPr>
        <w:t>Ανάλυση ευαισθησίας όσον αφορά τον κίνδυνο ρευστότητας για το 2019 – ολοκληρώθηκε</w:t>
      </w:r>
    </w:p>
    <w:p w:rsidR="00A87BD0" w:rsidRDefault="00A87BD0" w:rsidP="00A87BD0">
      <w:pPr>
        <w:shd w:val="clear" w:color="auto" w:fill="FFFFFF"/>
        <w:spacing w:line="276" w:lineRule="auto"/>
        <w:textAlignment w:val="baseline"/>
        <w:rPr>
          <w:rFonts w:cstheme="minorHAnsi"/>
          <w:b/>
          <w:bCs/>
          <w:color w:val="262626" w:themeColor="text1" w:themeTint="D9"/>
          <w:sz w:val="28"/>
          <w:szCs w:val="28"/>
        </w:rPr>
      </w:pPr>
      <w:r w:rsidRPr="00170FFF">
        <w:rPr>
          <w:rFonts w:cstheme="minorHAnsi"/>
          <w:b/>
          <w:bCs/>
          <w:color w:val="262626" w:themeColor="text1" w:themeTint="D9"/>
          <w:sz w:val="28"/>
          <w:szCs w:val="28"/>
        </w:rPr>
        <w:t>Ανάλυση ευαισθησίας όσον αφορά τον κίνδυνο επιτοκίου στο τραπεζικό χαρτοφυλάκιο για το 2017 – ολοκληρώθηκε</w:t>
      </w:r>
    </w:p>
    <w:p w:rsidR="00170FFF" w:rsidRPr="00170FFF" w:rsidRDefault="00170FFF" w:rsidP="00A87BD0">
      <w:pPr>
        <w:shd w:val="clear" w:color="auto" w:fill="FFFFFF"/>
        <w:spacing w:line="276" w:lineRule="auto"/>
        <w:textAlignment w:val="baseline"/>
        <w:rPr>
          <w:rFonts w:cstheme="minorHAnsi"/>
          <w:b/>
          <w:bCs/>
          <w:color w:val="262626" w:themeColor="text1" w:themeTint="D9"/>
          <w:sz w:val="28"/>
          <w:szCs w:val="28"/>
        </w:rPr>
      </w:pPr>
    </w:p>
    <w:p w:rsidR="00A87BD0" w:rsidRPr="00170FFF" w:rsidRDefault="00A87BD0" w:rsidP="00A87BD0">
      <w:pPr>
        <w:pStyle w:val="Heading3"/>
        <w:spacing w:before="0" w:after="300" w:line="276" w:lineRule="auto"/>
        <w:textAlignment w:val="baseline"/>
        <w:rPr>
          <w:rFonts w:asciiTheme="minorHAnsi" w:hAnsiTheme="minorHAnsi" w:cstheme="minorHAnsi"/>
          <w:b/>
          <w:bCs/>
          <w:color w:val="262626" w:themeColor="text1" w:themeTint="D9"/>
          <w:sz w:val="28"/>
          <w:szCs w:val="28"/>
        </w:rPr>
      </w:pPr>
      <w:r w:rsidRPr="00170FFF">
        <w:rPr>
          <w:rFonts w:asciiTheme="minorHAnsi" w:hAnsiTheme="minorHAnsi" w:cstheme="minorHAnsi"/>
          <w:b/>
          <w:color w:val="262626" w:themeColor="text1" w:themeTint="D9"/>
          <w:sz w:val="28"/>
          <w:szCs w:val="28"/>
        </w:rPr>
        <w:t>Προσανατολισμένες προς το μέλλον αναλύσεις ευπαθειών</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Περιστασιακά, προκειμένου να αξιολογεί την ανθεκτικότητα των σημαντικών ιδρυμάτων σε απρόβλεπτες εξωτερικές εξελίξεις στη διάρκεια των ετών κατά τα οποία δεν διενεργείται άσκηση προσομοίωσης ακραίων καταστάσεων της ΕΑΤ σε επίπεδο ΕΕ, η ΕΚΤ πραγματοποιεί προσανατολισμένες προς το μέλλον αναλύσεις ευπαθειών με βάση τη φερεγγυότητα σημαντικών ιδρυμάτων υπό την άμεση εποπτεία της.</w:t>
      </w:r>
    </w:p>
    <w:p w:rsidR="00A87BD0" w:rsidRPr="00170FFF" w:rsidRDefault="00A87BD0" w:rsidP="00A87BD0">
      <w:pPr>
        <w:pStyle w:val="Heading4"/>
        <w:spacing w:before="0" w:after="15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Ανάλυση ευπαθειών λόγω COVID-19 για το 2020</w:t>
      </w:r>
    </w:p>
    <w:p w:rsidR="00A87BD0" w:rsidRPr="00170FFF" w:rsidRDefault="003139F8" w:rsidP="00A87BD0">
      <w:pPr>
        <w:spacing w:line="276" w:lineRule="auto"/>
        <w:textAlignment w:val="baseline"/>
        <w:rPr>
          <w:rFonts w:cstheme="minorHAnsi"/>
          <w:color w:val="262626" w:themeColor="text1" w:themeTint="D9"/>
          <w:sz w:val="28"/>
          <w:szCs w:val="28"/>
        </w:rPr>
      </w:pPr>
      <w:hyperlink r:id="rId29" w:history="1">
        <w:r w:rsidR="00A87BD0" w:rsidRPr="00170FFF">
          <w:rPr>
            <w:rStyle w:val="Hyperlink"/>
            <w:rFonts w:cstheme="minorHAnsi"/>
            <w:b/>
            <w:bCs/>
            <w:color w:val="262626" w:themeColor="text1" w:themeTint="D9"/>
            <w:sz w:val="28"/>
            <w:szCs w:val="28"/>
            <w:bdr w:val="none" w:sz="0" w:space="0" w:color="auto" w:frame="1"/>
          </w:rPr>
          <w:t>Συνοπτική παρουσίαση αποτελεσμάτων</w:t>
        </w:r>
      </w:hyperlink>
    </w:p>
    <w:p w:rsidR="00A87BD0" w:rsidRPr="00170FFF" w:rsidRDefault="00A87BD0" w:rsidP="00A87BD0">
      <w:pPr>
        <w:pStyle w:val="Heading4"/>
        <w:spacing w:before="0" w:after="15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Ανάλυση ευπαθειών λόγω του πολέμου στη Ρωσία για το 2022</w:t>
      </w:r>
    </w:p>
    <w:p w:rsidR="00A87BD0" w:rsidRPr="00170FFF" w:rsidRDefault="003139F8" w:rsidP="00A87BD0">
      <w:pPr>
        <w:numPr>
          <w:ilvl w:val="0"/>
          <w:numId w:val="5"/>
        </w:numPr>
        <w:spacing w:after="0" w:line="276" w:lineRule="auto"/>
        <w:ind w:left="0"/>
        <w:textAlignment w:val="baseline"/>
        <w:rPr>
          <w:rFonts w:cstheme="minorHAnsi"/>
          <w:color w:val="262626" w:themeColor="text1" w:themeTint="D9"/>
          <w:sz w:val="28"/>
          <w:szCs w:val="28"/>
        </w:rPr>
      </w:pPr>
      <w:hyperlink r:id="rId30" w:history="1">
        <w:r w:rsidR="00A87BD0" w:rsidRPr="00170FFF">
          <w:rPr>
            <w:rStyle w:val="Hyperlink"/>
            <w:rFonts w:cstheme="minorHAnsi"/>
            <w:color w:val="262626" w:themeColor="text1" w:themeTint="D9"/>
            <w:sz w:val="28"/>
            <w:szCs w:val="28"/>
            <w:bdr w:val="none" w:sz="0" w:space="0" w:color="auto" w:frame="1"/>
          </w:rPr>
          <w:t>Πλαίσιο της έκδοσης «Επισκόπηση της χρηματοπιστωτικής σταθερότητας» (</w:t>
        </w:r>
        <w:proofErr w:type="spellStart"/>
        <w:r w:rsidR="00A87BD0" w:rsidRPr="00170FFF">
          <w:rPr>
            <w:rStyle w:val="Hyperlink"/>
            <w:rFonts w:cstheme="minorHAnsi"/>
            <w:color w:val="262626" w:themeColor="text1" w:themeTint="D9"/>
            <w:sz w:val="28"/>
            <w:szCs w:val="28"/>
            <w:bdr w:val="none" w:sz="0" w:space="0" w:color="auto" w:frame="1"/>
          </w:rPr>
          <w:t>Financial</w:t>
        </w:r>
        <w:proofErr w:type="spellEnd"/>
        <w:r w:rsidR="00A87BD0" w:rsidRPr="00170FFF">
          <w:rPr>
            <w:rStyle w:val="Hyperlink"/>
            <w:rFonts w:cstheme="minorHAnsi"/>
            <w:color w:val="262626" w:themeColor="text1" w:themeTint="D9"/>
            <w:sz w:val="28"/>
            <w:szCs w:val="28"/>
            <w:bdr w:val="none" w:sz="0" w:space="0" w:color="auto" w:frame="1"/>
          </w:rPr>
          <w:t xml:space="preserve"> </w:t>
        </w:r>
        <w:proofErr w:type="spellStart"/>
        <w:r w:rsidR="00A87BD0" w:rsidRPr="00170FFF">
          <w:rPr>
            <w:rStyle w:val="Hyperlink"/>
            <w:rFonts w:cstheme="minorHAnsi"/>
            <w:color w:val="262626" w:themeColor="text1" w:themeTint="D9"/>
            <w:sz w:val="28"/>
            <w:szCs w:val="28"/>
            <w:bdr w:val="none" w:sz="0" w:space="0" w:color="auto" w:frame="1"/>
          </w:rPr>
          <w:t>Stability</w:t>
        </w:r>
        <w:proofErr w:type="spellEnd"/>
        <w:r w:rsidR="00A87BD0" w:rsidRPr="00170FFF">
          <w:rPr>
            <w:rStyle w:val="Hyperlink"/>
            <w:rFonts w:cstheme="minorHAnsi"/>
            <w:color w:val="262626" w:themeColor="text1" w:themeTint="D9"/>
            <w:sz w:val="28"/>
            <w:szCs w:val="28"/>
            <w:bdr w:val="none" w:sz="0" w:space="0" w:color="auto" w:frame="1"/>
          </w:rPr>
          <w:t xml:space="preserve"> Review)</w:t>
        </w:r>
      </w:hyperlink>
    </w:p>
    <w:p w:rsidR="00A87BD0" w:rsidRPr="00170FFF" w:rsidRDefault="003139F8" w:rsidP="00A87BD0">
      <w:pPr>
        <w:numPr>
          <w:ilvl w:val="0"/>
          <w:numId w:val="5"/>
        </w:numPr>
        <w:spacing w:after="0" w:line="276" w:lineRule="auto"/>
        <w:ind w:left="0"/>
        <w:textAlignment w:val="baseline"/>
        <w:rPr>
          <w:rFonts w:cstheme="minorHAnsi"/>
          <w:color w:val="262626" w:themeColor="text1" w:themeTint="D9"/>
          <w:sz w:val="28"/>
          <w:szCs w:val="28"/>
        </w:rPr>
      </w:pPr>
      <w:hyperlink r:id="rId31" w:anchor="toc6" w:history="1">
        <w:r w:rsidR="00A87BD0" w:rsidRPr="00170FFF">
          <w:rPr>
            <w:rStyle w:val="Hyperlink"/>
            <w:rFonts w:cstheme="minorHAnsi"/>
            <w:color w:val="262626" w:themeColor="text1" w:themeTint="D9"/>
            <w:sz w:val="28"/>
            <w:szCs w:val="28"/>
            <w:bdr w:val="none" w:sz="0" w:space="0" w:color="auto" w:frame="1"/>
          </w:rPr>
          <w:t>Πλαίσιο της Ετήσιας Έκθεσης</w:t>
        </w:r>
      </w:hyperlink>
    </w:p>
    <w:p w:rsidR="00170FFF" w:rsidRDefault="00170FFF" w:rsidP="00A87BD0">
      <w:pPr>
        <w:pStyle w:val="Heading2"/>
        <w:spacing w:before="0" w:after="300" w:line="276" w:lineRule="auto"/>
        <w:textAlignment w:val="baseline"/>
        <w:rPr>
          <w:rFonts w:asciiTheme="minorHAnsi" w:hAnsiTheme="minorHAnsi" w:cstheme="minorHAnsi"/>
          <w:color w:val="262626" w:themeColor="text1" w:themeTint="D9"/>
          <w:sz w:val="28"/>
          <w:szCs w:val="28"/>
        </w:rPr>
      </w:pPr>
    </w:p>
    <w:p w:rsidR="00A87BD0" w:rsidRPr="00170FFF" w:rsidRDefault="00A87BD0" w:rsidP="00A87BD0">
      <w:pPr>
        <w:pStyle w:val="Heading2"/>
        <w:spacing w:before="0" w:after="300" w:line="276" w:lineRule="auto"/>
        <w:textAlignment w:val="baseline"/>
        <w:rPr>
          <w:rFonts w:asciiTheme="minorHAnsi" w:hAnsiTheme="minorHAnsi" w:cstheme="minorHAnsi"/>
          <w:b/>
          <w:color w:val="262626" w:themeColor="text1" w:themeTint="D9"/>
          <w:sz w:val="28"/>
          <w:szCs w:val="28"/>
        </w:rPr>
      </w:pPr>
      <w:r w:rsidRPr="00170FFF">
        <w:rPr>
          <w:rFonts w:asciiTheme="minorHAnsi" w:hAnsiTheme="minorHAnsi" w:cstheme="minorHAnsi"/>
          <w:b/>
          <w:color w:val="262626" w:themeColor="text1" w:themeTint="D9"/>
          <w:sz w:val="28"/>
          <w:szCs w:val="28"/>
        </w:rPr>
        <w:t>Ασκήσεις προσομοίωσης ακραίων καταστάσεων ως μέρος συνολικών αξιολογήσεων</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Οι ασκήσεις προσομοίωσης ακραίων καταστάσεων μπορούν επίσης να διενεργούνται ως ένας από τους πυλώνες μιας συνολικής αξιολόγησης.</w:t>
      </w:r>
    </w:p>
    <w:p w:rsidR="00A87BD0" w:rsidRPr="00170FFF" w:rsidRDefault="00A87BD0" w:rsidP="00A87BD0">
      <w:pPr>
        <w:pStyle w:val="NormalWeb"/>
        <w:spacing w:before="0" w:beforeAutospacing="0" w:after="45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 xml:space="preserve">Αυτές οι ασκήσεις βασίζονται στη μεθοδολογία της ΕΑΤ για τις ασκήσεις προσομοίωσης ακραίων καταστάσεων σε επίπεδο ΕΕ, αλλά μπορούν να </w:t>
      </w:r>
      <w:r w:rsidRPr="00170FFF">
        <w:rPr>
          <w:rFonts w:asciiTheme="minorHAnsi" w:hAnsiTheme="minorHAnsi" w:cstheme="minorHAnsi"/>
          <w:color w:val="262626" w:themeColor="text1" w:themeTint="D9"/>
          <w:sz w:val="28"/>
          <w:szCs w:val="28"/>
        </w:rPr>
        <w:lastRenderedPageBreak/>
        <w:t>προσαρμοστούν ώστε να λαμβάνονται υπόψη συγκεκριμένες περιστάσεις.</w:t>
      </w:r>
    </w:p>
    <w:p w:rsidR="00A87BD0" w:rsidRPr="00170FFF" w:rsidRDefault="003139F8" w:rsidP="00A87BD0">
      <w:pPr>
        <w:spacing w:line="276" w:lineRule="auto"/>
        <w:textAlignment w:val="baseline"/>
        <w:rPr>
          <w:rFonts w:cstheme="minorHAnsi"/>
          <w:color w:val="262626" w:themeColor="text1" w:themeTint="D9"/>
          <w:sz w:val="28"/>
          <w:szCs w:val="28"/>
        </w:rPr>
      </w:pPr>
      <w:hyperlink r:id="rId32" w:history="1">
        <w:r w:rsidR="00A87BD0" w:rsidRPr="00170FFF">
          <w:rPr>
            <w:rStyle w:val="Hyperlink"/>
            <w:rFonts w:cstheme="minorHAnsi"/>
            <w:b/>
            <w:bCs/>
            <w:color w:val="262626" w:themeColor="text1" w:themeTint="D9"/>
            <w:sz w:val="28"/>
            <w:szCs w:val="28"/>
            <w:bdr w:val="none" w:sz="0" w:space="0" w:color="auto" w:frame="1"/>
          </w:rPr>
          <w:t>Μεθοδολογία της ΕΑΤ για τις ασκήσεις προσομοίωσης ακραίων καταστάσεων</w:t>
        </w:r>
      </w:hyperlink>
    </w:p>
    <w:p w:rsidR="00A87BD0" w:rsidRPr="00170FFF" w:rsidRDefault="00A87BD0" w:rsidP="00A87BD0">
      <w:pPr>
        <w:pStyle w:val="Heading2"/>
        <w:spacing w:before="750" w:after="300" w:line="276" w:lineRule="auto"/>
        <w:textAlignment w:val="baseline"/>
        <w:rPr>
          <w:rFonts w:asciiTheme="minorHAnsi" w:hAnsiTheme="minorHAnsi" w:cstheme="minorHAnsi"/>
          <w:b/>
          <w:color w:val="262626" w:themeColor="text1" w:themeTint="D9"/>
          <w:sz w:val="28"/>
          <w:szCs w:val="28"/>
        </w:rPr>
      </w:pPr>
      <w:r w:rsidRPr="00170FFF">
        <w:rPr>
          <w:rFonts w:asciiTheme="minorHAnsi" w:hAnsiTheme="minorHAnsi" w:cstheme="minorHAnsi"/>
          <w:b/>
          <w:color w:val="262626" w:themeColor="text1" w:themeTint="D9"/>
          <w:sz w:val="28"/>
          <w:szCs w:val="28"/>
        </w:rPr>
        <w:t xml:space="preserve">Ασκήσεις προσομοίωσης ακραίων καταστάσεων για </w:t>
      </w:r>
      <w:proofErr w:type="spellStart"/>
      <w:r w:rsidRPr="00170FFF">
        <w:rPr>
          <w:rFonts w:asciiTheme="minorHAnsi" w:hAnsiTheme="minorHAnsi" w:cstheme="minorHAnsi"/>
          <w:b/>
          <w:color w:val="262626" w:themeColor="text1" w:themeTint="D9"/>
          <w:sz w:val="28"/>
          <w:szCs w:val="28"/>
        </w:rPr>
        <w:t>μακροπροληπτικούς</w:t>
      </w:r>
      <w:proofErr w:type="spellEnd"/>
      <w:r w:rsidRPr="00170FFF">
        <w:rPr>
          <w:rFonts w:asciiTheme="minorHAnsi" w:hAnsiTheme="minorHAnsi" w:cstheme="minorHAnsi"/>
          <w:b/>
          <w:color w:val="262626" w:themeColor="text1" w:themeTint="D9"/>
          <w:sz w:val="28"/>
          <w:szCs w:val="28"/>
        </w:rPr>
        <w:t xml:space="preserve"> σκοπούς</w:t>
      </w:r>
    </w:p>
    <w:p w:rsidR="00A87BD0" w:rsidRPr="00170FFF" w:rsidRDefault="00A87BD0" w:rsidP="00A87BD0">
      <w:pPr>
        <w:pStyle w:val="NormalWeb"/>
        <w:spacing w:before="0" w:beforeAutospacing="0" w:after="0" w:afterAutospacing="0" w:line="276" w:lineRule="auto"/>
        <w:textAlignment w:val="baseline"/>
        <w:rPr>
          <w:rFonts w:asciiTheme="minorHAnsi" w:hAnsiTheme="minorHAnsi" w:cstheme="minorHAnsi"/>
          <w:color w:val="262626" w:themeColor="text1" w:themeTint="D9"/>
          <w:sz w:val="28"/>
          <w:szCs w:val="28"/>
        </w:rPr>
      </w:pPr>
      <w:r w:rsidRPr="00170FFF">
        <w:rPr>
          <w:rFonts w:asciiTheme="minorHAnsi" w:hAnsiTheme="minorHAnsi" w:cstheme="minorHAnsi"/>
          <w:color w:val="262626" w:themeColor="text1" w:themeTint="D9"/>
          <w:sz w:val="28"/>
          <w:szCs w:val="28"/>
        </w:rPr>
        <w:t xml:space="preserve">Η ΕΚΤ διενεργεί επίσης ασκήσεις προσομοίωσης ακραίων καταστάσεων για σκοπούς </w:t>
      </w:r>
      <w:proofErr w:type="spellStart"/>
      <w:r w:rsidRPr="00170FFF">
        <w:rPr>
          <w:rFonts w:asciiTheme="minorHAnsi" w:hAnsiTheme="minorHAnsi" w:cstheme="minorHAnsi"/>
          <w:color w:val="262626" w:themeColor="text1" w:themeTint="D9"/>
          <w:sz w:val="28"/>
          <w:szCs w:val="28"/>
        </w:rPr>
        <w:t>μακροπροληπτικής</w:t>
      </w:r>
      <w:proofErr w:type="spellEnd"/>
      <w:r w:rsidRPr="00170FFF">
        <w:rPr>
          <w:rFonts w:asciiTheme="minorHAnsi" w:hAnsiTheme="minorHAnsi" w:cstheme="minorHAnsi"/>
          <w:color w:val="262626" w:themeColor="text1" w:themeTint="D9"/>
          <w:sz w:val="28"/>
          <w:szCs w:val="28"/>
        </w:rPr>
        <w:t xml:space="preserve"> εποπτείας και χρηματοπιστωτικής σταθερότητας. Αυτές οι ασκήσεις συνήθως επικεντρώνονται σε επιδράσεις που αφορούν ολόκληρο το σύστημα και όχι επιμέρους τράπεζες και πραγματοποιούνται από πάνω προς τα κάτω (χωρίς συμμετοχή των τραπεζών). Τα αποτελέσματα δημοσιεύονται τακτικά στην Επισκόπηση της χρηματοπιστωτικής σταθερότητας (</w:t>
      </w:r>
      <w:proofErr w:type="spellStart"/>
      <w:r w:rsidRPr="00170FFF">
        <w:rPr>
          <w:rFonts w:asciiTheme="minorHAnsi" w:hAnsiTheme="minorHAnsi" w:cstheme="minorHAnsi"/>
          <w:color w:val="262626" w:themeColor="text1" w:themeTint="D9"/>
          <w:sz w:val="28"/>
          <w:szCs w:val="28"/>
        </w:rPr>
        <w:t>Financial</w:t>
      </w:r>
      <w:proofErr w:type="spellEnd"/>
      <w:r w:rsidRPr="00170FFF">
        <w:rPr>
          <w:rFonts w:asciiTheme="minorHAnsi" w:hAnsiTheme="minorHAnsi" w:cstheme="minorHAnsi"/>
          <w:color w:val="262626" w:themeColor="text1" w:themeTint="D9"/>
          <w:sz w:val="28"/>
          <w:szCs w:val="28"/>
        </w:rPr>
        <w:t xml:space="preserve"> </w:t>
      </w:r>
      <w:proofErr w:type="spellStart"/>
      <w:r w:rsidRPr="00170FFF">
        <w:rPr>
          <w:rFonts w:asciiTheme="minorHAnsi" w:hAnsiTheme="minorHAnsi" w:cstheme="minorHAnsi"/>
          <w:color w:val="262626" w:themeColor="text1" w:themeTint="D9"/>
          <w:sz w:val="28"/>
          <w:szCs w:val="28"/>
        </w:rPr>
        <w:t>Stability</w:t>
      </w:r>
      <w:proofErr w:type="spellEnd"/>
      <w:r w:rsidRPr="00170FFF">
        <w:rPr>
          <w:rFonts w:asciiTheme="minorHAnsi" w:hAnsiTheme="minorHAnsi" w:cstheme="minorHAnsi"/>
          <w:color w:val="262626" w:themeColor="text1" w:themeTint="D9"/>
          <w:sz w:val="28"/>
          <w:szCs w:val="28"/>
        </w:rPr>
        <w:t xml:space="preserve"> Review) και στο </w:t>
      </w:r>
      <w:proofErr w:type="spellStart"/>
      <w:r w:rsidRPr="00170FFF">
        <w:rPr>
          <w:rFonts w:asciiTheme="minorHAnsi" w:hAnsiTheme="minorHAnsi" w:cstheme="minorHAnsi"/>
          <w:color w:val="262626" w:themeColor="text1" w:themeTint="D9"/>
          <w:sz w:val="28"/>
          <w:szCs w:val="28"/>
        </w:rPr>
        <w:t>Μακροπροληπτικό</w:t>
      </w:r>
      <w:proofErr w:type="spellEnd"/>
      <w:r w:rsidRPr="00170FFF">
        <w:rPr>
          <w:rFonts w:asciiTheme="minorHAnsi" w:hAnsiTheme="minorHAnsi" w:cstheme="minorHAnsi"/>
          <w:color w:val="262626" w:themeColor="text1" w:themeTint="D9"/>
          <w:sz w:val="28"/>
          <w:szCs w:val="28"/>
        </w:rPr>
        <w:t xml:space="preserve"> ενημερωτικό δελτίο (</w:t>
      </w:r>
      <w:proofErr w:type="spellStart"/>
      <w:r w:rsidRPr="00170FFF">
        <w:rPr>
          <w:rFonts w:asciiTheme="minorHAnsi" w:hAnsiTheme="minorHAnsi" w:cstheme="minorHAnsi"/>
          <w:color w:val="262626" w:themeColor="text1" w:themeTint="D9"/>
          <w:sz w:val="28"/>
          <w:szCs w:val="28"/>
        </w:rPr>
        <w:t>Macroprudential</w:t>
      </w:r>
      <w:proofErr w:type="spellEnd"/>
      <w:r w:rsidRPr="00170FFF">
        <w:rPr>
          <w:rFonts w:asciiTheme="minorHAnsi" w:hAnsiTheme="minorHAnsi" w:cstheme="minorHAnsi"/>
          <w:color w:val="262626" w:themeColor="text1" w:themeTint="D9"/>
          <w:sz w:val="28"/>
          <w:szCs w:val="28"/>
        </w:rPr>
        <w:t xml:space="preserve"> </w:t>
      </w:r>
      <w:proofErr w:type="spellStart"/>
      <w:r w:rsidRPr="00170FFF">
        <w:rPr>
          <w:rFonts w:asciiTheme="minorHAnsi" w:hAnsiTheme="minorHAnsi" w:cstheme="minorHAnsi"/>
          <w:color w:val="262626" w:themeColor="text1" w:themeTint="D9"/>
          <w:sz w:val="28"/>
          <w:szCs w:val="28"/>
        </w:rPr>
        <w:t>Bulletin</w:t>
      </w:r>
      <w:proofErr w:type="spellEnd"/>
      <w:r w:rsidRPr="00170FFF">
        <w:rPr>
          <w:rFonts w:asciiTheme="minorHAnsi" w:hAnsiTheme="minorHAnsi" w:cstheme="minorHAnsi"/>
          <w:color w:val="262626" w:themeColor="text1" w:themeTint="D9"/>
          <w:sz w:val="28"/>
          <w:szCs w:val="28"/>
        </w:rPr>
        <w:t>).</w:t>
      </w:r>
    </w:p>
    <w:p w:rsidR="00A87BD0" w:rsidRPr="00170FFF" w:rsidRDefault="00A87BD0" w:rsidP="00A87BD0">
      <w:pPr>
        <w:pBdr>
          <w:top w:val="single" w:sz="2" w:space="8" w:color="EEEEEE"/>
        </w:pBdr>
        <w:shd w:val="clear" w:color="auto" w:fill="FBFBFB"/>
        <w:spacing w:line="276" w:lineRule="auto"/>
        <w:textAlignment w:val="baseline"/>
        <w:rPr>
          <w:rFonts w:cstheme="minorHAnsi"/>
          <w:color w:val="262626" w:themeColor="text1" w:themeTint="D9"/>
          <w:sz w:val="28"/>
          <w:szCs w:val="28"/>
        </w:rPr>
      </w:pPr>
      <w:r w:rsidRPr="00170FFF">
        <w:rPr>
          <w:rFonts w:cstheme="minorHAnsi"/>
          <w:color w:val="262626" w:themeColor="text1" w:themeTint="D9"/>
          <w:sz w:val="28"/>
          <w:szCs w:val="28"/>
        </w:rPr>
        <w:t>Οκτώβριος 2021</w:t>
      </w:r>
    </w:p>
    <w:p w:rsidR="00A87BD0" w:rsidRPr="00170FFF" w:rsidRDefault="003139F8" w:rsidP="00A87BD0">
      <w:pPr>
        <w:pBdr>
          <w:top w:val="single" w:sz="2" w:space="8" w:color="EEEEEE"/>
        </w:pBdr>
        <w:shd w:val="clear" w:color="auto" w:fill="FBFBFB"/>
        <w:spacing w:line="276" w:lineRule="auto"/>
        <w:ind w:left="720"/>
        <w:textAlignment w:val="baseline"/>
        <w:rPr>
          <w:rFonts w:cstheme="minorHAnsi"/>
          <w:color w:val="0070C0"/>
          <w:sz w:val="28"/>
          <w:szCs w:val="28"/>
        </w:rPr>
      </w:pPr>
      <w:hyperlink r:id="rId33" w:history="1">
        <w:proofErr w:type="spellStart"/>
        <w:r w:rsidR="00A87BD0" w:rsidRPr="00170FFF">
          <w:rPr>
            <w:rStyle w:val="Hyperlink"/>
            <w:rFonts w:cstheme="minorHAnsi"/>
            <w:color w:val="0070C0"/>
            <w:sz w:val="28"/>
            <w:szCs w:val="28"/>
            <w:bdr w:val="none" w:sz="0" w:space="0" w:color="auto" w:frame="1"/>
          </w:rPr>
          <w:t>Μακροπροληπτική</w:t>
        </w:r>
        <w:proofErr w:type="spellEnd"/>
        <w:r w:rsidR="00A87BD0" w:rsidRPr="00170FFF">
          <w:rPr>
            <w:rStyle w:val="Hyperlink"/>
            <w:rFonts w:cstheme="minorHAnsi"/>
            <w:color w:val="0070C0"/>
            <w:sz w:val="28"/>
            <w:szCs w:val="28"/>
            <w:bdr w:val="none" w:sz="0" w:space="0" w:color="auto" w:frame="1"/>
          </w:rPr>
          <w:t xml:space="preserve"> άσκηση προσομοίωσης ακραίων καταστάσεων για το τραπεζικό σύστημα της ζώνης του ευρώ στο πλαίσιο της πανδημίας του </w:t>
        </w:r>
        <w:proofErr w:type="spellStart"/>
        <w:r w:rsidR="00A87BD0" w:rsidRPr="00170FFF">
          <w:rPr>
            <w:rStyle w:val="Hyperlink"/>
            <w:rFonts w:cstheme="minorHAnsi"/>
            <w:color w:val="0070C0"/>
            <w:sz w:val="28"/>
            <w:szCs w:val="28"/>
            <w:bdr w:val="none" w:sz="0" w:space="0" w:color="auto" w:frame="1"/>
          </w:rPr>
          <w:t>κορωνοϊού</w:t>
        </w:r>
        <w:proofErr w:type="spellEnd"/>
        <w:r w:rsidR="00A87BD0" w:rsidRPr="00170FFF">
          <w:rPr>
            <w:rStyle w:val="Hyperlink"/>
            <w:rFonts w:cstheme="minorHAnsi"/>
            <w:color w:val="0070C0"/>
            <w:sz w:val="28"/>
            <w:szCs w:val="28"/>
            <w:bdr w:val="none" w:sz="0" w:space="0" w:color="auto" w:frame="1"/>
          </w:rPr>
          <w:t xml:space="preserve"> (COVID-19)</w:t>
        </w:r>
      </w:hyperlink>
    </w:p>
    <w:p w:rsidR="00A87BD0" w:rsidRPr="00170FFF" w:rsidRDefault="00A87BD0" w:rsidP="00A87BD0">
      <w:pPr>
        <w:pBdr>
          <w:top w:val="single" w:sz="6" w:space="8" w:color="EEEEEE"/>
        </w:pBdr>
        <w:shd w:val="clear" w:color="auto" w:fill="FBFBFB"/>
        <w:spacing w:line="276" w:lineRule="auto"/>
        <w:textAlignment w:val="baseline"/>
        <w:rPr>
          <w:rFonts w:cstheme="minorHAnsi"/>
          <w:color w:val="262626" w:themeColor="text1" w:themeTint="D9"/>
          <w:sz w:val="28"/>
          <w:szCs w:val="28"/>
        </w:rPr>
      </w:pPr>
      <w:r w:rsidRPr="00170FFF">
        <w:rPr>
          <w:rFonts w:cstheme="minorHAnsi"/>
          <w:color w:val="262626" w:themeColor="text1" w:themeTint="D9"/>
          <w:sz w:val="28"/>
          <w:szCs w:val="28"/>
        </w:rPr>
        <w:t>Σεπτέμβριος 2021</w:t>
      </w:r>
    </w:p>
    <w:p w:rsidR="00A87BD0" w:rsidRPr="00170FFF" w:rsidRDefault="003139F8" w:rsidP="00A87BD0">
      <w:pPr>
        <w:pBdr>
          <w:top w:val="single" w:sz="6" w:space="8" w:color="EEEEEE"/>
        </w:pBdr>
        <w:shd w:val="clear" w:color="auto" w:fill="FBFBFB"/>
        <w:spacing w:line="276" w:lineRule="auto"/>
        <w:ind w:left="720"/>
        <w:textAlignment w:val="baseline"/>
        <w:rPr>
          <w:rFonts w:cstheme="minorHAnsi"/>
          <w:color w:val="0070C0"/>
          <w:sz w:val="28"/>
          <w:szCs w:val="28"/>
        </w:rPr>
      </w:pPr>
      <w:hyperlink r:id="rId34" w:history="1">
        <w:r w:rsidR="00A87BD0" w:rsidRPr="00170FFF">
          <w:rPr>
            <w:rStyle w:val="Hyperlink"/>
            <w:rFonts w:cstheme="minorHAnsi"/>
            <w:color w:val="0070C0"/>
            <w:sz w:val="28"/>
            <w:szCs w:val="28"/>
            <w:bdr w:val="none" w:sz="0" w:space="0" w:color="auto" w:frame="1"/>
          </w:rPr>
          <w:t>Άσκηση προσομοίωσης ακραίων καταστάσεων σε σχέση με το κλίμα για το σύνολο της οικονομίας που διενεργεί η ΕΚΤ</w:t>
        </w:r>
      </w:hyperlink>
    </w:p>
    <w:p w:rsidR="00A87BD0" w:rsidRPr="00170FFF" w:rsidRDefault="00A87BD0" w:rsidP="00A87BD0">
      <w:pPr>
        <w:pBdr>
          <w:top w:val="single" w:sz="6" w:space="8" w:color="EEEEEE"/>
        </w:pBdr>
        <w:shd w:val="clear" w:color="auto" w:fill="FBFBFB"/>
        <w:spacing w:line="276" w:lineRule="auto"/>
        <w:textAlignment w:val="baseline"/>
        <w:rPr>
          <w:rFonts w:cstheme="minorHAnsi"/>
          <w:color w:val="262626" w:themeColor="text1" w:themeTint="D9"/>
          <w:sz w:val="28"/>
          <w:szCs w:val="28"/>
          <w:lang w:val="en-US"/>
        </w:rPr>
      </w:pPr>
      <w:r w:rsidRPr="00170FFF">
        <w:rPr>
          <w:rFonts w:cstheme="minorHAnsi"/>
          <w:color w:val="262626" w:themeColor="text1" w:themeTint="D9"/>
          <w:sz w:val="28"/>
          <w:szCs w:val="28"/>
        </w:rPr>
        <w:t>Νοέμβριος</w:t>
      </w:r>
      <w:r w:rsidRPr="00170FFF">
        <w:rPr>
          <w:rFonts w:cstheme="minorHAnsi"/>
          <w:color w:val="262626" w:themeColor="text1" w:themeTint="D9"/>
          <w:sz w:val="28"/>
          <w:szCs w:val="28"/>
          <w:lang w:val="en-US"/>
        </w:rPr>
        <w:t xml:space="preserve"> 2019</w:t>
      </w:r>
    </w:p>
    <w:p w:rsidR="00A87BD0" w:rsidRPr="00170FFF" w:rsidRDefault="003139F8" w:rsidP="00A87BD0">
      <w:pPr>
        <w:pBdr>
          <w:top w:val="single" w:sz="6" w:space="8" w:color="EEEEEE"/>
        </w:pBdr>
        <w:shd w:val="clear" w:color="auto" w:fill="FBFBFB"/>
        <w:spacing w:line="276" w:lineRule="auto"/>
        <w:ind w:left="720"/>
        <w:textAlignment w:val="baseline"/>
        <w:rPr>
          <w:rFonts w:cstheme="minorHAnsi"/>
          <w:color w:val="0070C0"/>
          <w:sz w:val="28"/>
          <w:szCs w:val="28"/>
          <w:lang w:val="en-US"/>
        </w:rPr>
      </w:pPr>
      <w:hyperlink r:id="rId35" w:anchor="toc30" w:history="1">
        <w:r w:rsidR="00A87BD0" w:rsidRPr="00170FFF">
          <w:rPr>
            <w:rStyle w:val="Hyperlink"/>
            <w:rFonts w:cstheme="minorHAnsi"/>
            <w:color w:val="0070C0"/>
            <w:sz w:val="28"/>
            <w:szCs w:val="28"/>
            <w:bdr w:val="none" w:sz="0" w:space="0" w:color="auto" w:frame="1"/>
            <w:lang w:val="en-US"/>
          </w:rPr>
          <w:t xml:space="preserve">Financial Stability Review – 3.2 </w:t>
        </w:r>
        <w:proofErr w:type="gramStart"/>
        <w:r w:rsidR="00A87BD0" w:rsidRPr="00170FFF">
          <w:rPr>
            <w:rStyle w:val="Hyperlink"/>
            <w:rFonts w:cstheme="minorHAnsi"/>
            <w:color w:val="0070C0"/>
            <w:sz w:val="28"/>
            <w:szCs w:val="28"/>
            <w:bdr w:val="none" w:sz="0" w:space="0" w:color="auto" w:frame="1"/>
            <w:lang w:val="en-US"/>
          </w:rPr>
          <w:t>Evaluating</w:t>
        </w:r>
        <w:proofErr w:type="gramEnd"/>
        <w:r w:rsidR="00A87BD0" w:rsidRPr="00170FFF">
          <w:rPr>
            <w:rStyle w:val="Hyperlink"/>
            <w:rFonts w:cstheme="minorHAnsi"/>
            <w:color w:val="0070C0"/>
            <w:sz w:val="28"/>
            <w:szCs w:val="28"/>
            <w:bdr w:val="none" w:sz="0" w:space="0" w:color="auto" w:frame="1"/>
            <w:lang w:val="en-US"/>
          </w:rPr>
          <w:t xml:space="preserve"> the resilience of the euro area banking sector</w:t>
        </w:r>
      </w:hyperlink>
    </w:p>
    <w:p w:rsidR="00A87BD0" w:rsidRPr="00170FFF" w:rsidRDefault="00A87BD0" w:rsidP="00A87BD0">
      <w:pPr>
        <w:pBdr>
          <w:top w:val="single" w:sz="6" w:space="8" w:color="EEEEEE"/>
        </w:pBdr>
        <w:shd w:val="clear" w:color="auto" w:fill="FBFBFB"/>
        <w:spacing w:line="276" w:lineRule="auto"/>
        <w:textAlignment w:val="baseline"/>
        <w:rPr>
          <w:rFonts w:cstheme="minorHAnsi"/>
          <w:color w:val="262626" w:themeColor="text1" w:themeTint="D9"/>
          <w:sz w:val="28"/>
          <w:szCs w:val="28"/>
          <w:lang w:val="en-US"/>
        </w:rPr>
      </w:pPr>
      <w:r w:rsidRPr="00170FFF">
        <w:rPr>
          <w:rFonts w:cstheme="minorHAnsi"/>
          <w:color w:val="262626" w:themeColor="text1" w:themeTint="D9"/>
          <w:sz w:val="28"/>
          <w:szCs w:val="28"/>
          <w:lang w:val="en-US"/>
        </w:rPr>
        <w:t xml:space="preserve">29 </w:t>
      </w:r>
      <w:r w:rsidRPr="00170FFF">
        <w:rPr>
          <w:rFonts w:cstheme="minorHAnsi"/>
          <w:color w:val="262626" w:themeColor="text1" w:themeTint="D9"/>
          <w:sz w:val="28"/>
          <w:szCs w:val="28"/>
        </w:rPr>
        <w:t>Οκτωβρίου</w:t>
      </w:r>
      <w:r w:rsidRPr="00170FFF">
        <w:rPr>
          <w:rFonts w:cstheme="minorHAnsi"/>
          <w:color w:val="262626" w:themeColor="text1" w:themeTint="D9"/>
          <w:sz w:val="28"/>
          <w:szCs w:val="28"/>
          <w:lang w:val="en-US"/>
        </w:rPr>
        <w:t xml:space="preserve"> 2019</w:t>
      </w:r>
    </w:p>
    <w:p w:rsidR="00A87BD0" w:rsidRPr="00170FFF" w:rsidRDefault="003139F8" w:rsidP="00A87BD0">
      <w:pPr>
        <w:pBdr>
          <w:top w:val="single" w:sz="6" w:space="8" w:color="EEEEEE"/>
        </w:pBdr>
        <w:shd w:val="clear" w:color="auto" w:fill="FBFBFB"/>
        <w:spacing w:line="276" w:lineRule="auto"/>
        <w:ind w:left="720"/>
        <w:textAlignment w:val="baseline"/>
        <w:rPr>
          <w:rFonts w:cstheme="minorHAnsi"/>
          <w:color w:val="0070C0"/>
          <w:sz w:val="28"/>
          <w:szCs w:val="28"/>
          <w:lang w:val="en-US"/>
        </w:rPr>
      </w:pPr>
      <w:hyperlink r:id="rId36" w:history="1">
        <w:proofErr w:type="spellStart"/>
        <w:r w:rsidR="00A87BD0" w:rsidRPr="00170FFF">
          <w:rPr>
            <w:rStyle w:val="Hyperlink"/>
            <w:rFonts w:cstheme="minorHAnsi"/>
            <w:color w:val="0070C0"/>
            <w:sz w:val="28"/>
            <w:szCs w:val="28"/>
            <w:bdr w:val="none" w:sz="0" w:space="0" w:color="auto" w:frame="1"/>
            <w:lang w:val="en-US"/>
          </w:rPr>
          <w:t>Macroprudential</w:t>
        </w:r>
        <w:proofErr w:type="spellEnd"/>
        <w:r w:rsidR="00A87BD0" w:rsidRPr="00170FFF">
          <w:rPr>
            <w:rStyle w:val="Hyperlink"/>
            <w:rFonts w:cstheme="minorHAnsi"/>
            <w:color w:val="0070C0"/>
            <w:sz w:val="28"/>
            <w:szCs w:val="28"/>
            <w:bdr w:val="none" w:sz="0" w:space="0" w:color="auto" w:frame="1"/>
            <w:lang w:val="en-US"/>
          </w:rPr>
          <w:t xml:space="preserve"> Bulletin – The disciplining effect of supervisory scrutiny on banks’ risk-taking: evidence from the EU</w:t>
        </w:r>
        <w:r w:rsidR="00A87BD0" w:rsidRPr="00170FFF">
          <w:rPr>
            <w:rStyle w:val="Hyperlink"/>
            <w:rFonts w:cstheme="minorHAnsi"/>
            <w:color w:val="0070C0"/>
            <w:sz w:val="28"/>
            <w:szCs w:val="28"/>
            <w:bdr w:val="none" w:sz="0" w:space="0" w:color="auto" w:frame="1"/>
            <w:lang w:val="en-US"/>
          </w:rPr>
          <w:noBreakHyphen/>
          <w:t>wide stress test</w:t>
        </w:r>
      </w:hyperlink>
    </w:p>
    <w:p w:rsidR="00A87BD0" w:rsidRPr="00170FFF" w:rsidRDefault="00A87BD0" w:rsidP="00A87BD0">
      <w:pPr>
        <w:pBdr>
          <w:top w:val="single" w:sz="6" w:space="8" w:color="EEEEEE"/>
        </w:pBdr>
        <w:shd w:val="clear" w:color="auto" w:fill="FBFBFB"/>
        <w:spacing w:line="276" w:lineRule="auto"/>
        <w:textAlignment w:val="baseline"/>
        <w:rPr>
          <w:rFonts w:cstheme="minorHAnsi"/>
          <w:color w:val="262626" w:themeColor="text1" w:themeTint="D9"/>
          <w:sz w:val="28"/>
          <w:szCs w:val="28"/>
          <w:lang w:val="en-US"/>
        </w:rPr>
      </w:pPr>
      <w:r w:rsidRPr="00170FFF">
        <w:rPr>
          <w:rFonts w:cstheme="minorHAnsi"/>
          <w:color w:val="262626" w:themeColor="text1" w:themeTint="D9"/>
          <w:sz w:val="28"/>
          <w:szCs w:val="28"/>
          <w:lang w:val="en-US"/>
        </w:rPr>
        <w:t xml:space="preserve">27 </w:t>
      </w:r>
      <w:r w:rsidRPr="00170FFF">
        <w:rPr>
          <w:rFonts w:cstheme="minorHAnsi"/>
          <w:color w:val="262626" w:themeColor="text1" w:themeTint="D9"/>
          <w:sz w:val="28"/>
          <w:szCs w:val="28"/>
        </w:rPr>
        <w:t>Μαρτίου</w:t>
      </w:r>
      <w:r w:rsidRPr="00170FFF">
        <w:rPr>
          <w:rFonts w:cstheme="minorHAnsi"/>
          <w:color w:val="262626" w:themeColor="text1" w:themeTint="D9"/>
          <w:sz w:val="28"/>
          <w:szCs w:val="28"/>
          <w:lang w:val="en-US"/>
        </w:rPr>
        <w:t xml:space="preserve"> 2019</w:t>
      </w:r>
    </w:p>
    <w:p w:rsidR="00A87BD0" w:rsidRPr="00170FFF" w:rsidRDefault="003139F8" w:rsidP="00A87BD0">
      <w:pPr>
        <w:pBdr>
          <w:top w:val="single" w:sz="6" w:space="8" w:color="EEEEEE"/>
        </w:pBdr>
        <w:shd w:val="clear" w:color="auto" w:fill="FBFBFB"/>
        <w:spacing w:line="276" w:lineRule="auto"/>
        <w:ind w:left="720"/>
        <w:textAlignment w:val="baseline"/>
        <w:rPr>
          <w:rFonts w:cstheme="minorHAnsi"/>
          <w:color w:val="0070C0"/>
          <w:sz w:val="28"/>
          <w:szCs w:val="28"/>
          <w:lang w:val="en-US"/>
        </w:rPr>
      </w:pPr>
      <w:hyperlink r:id="rId37" w:history="1">
        <w:proofErr w:type="spellStart"/>
        <w:r w:rsidR="00A87BD0" w:rsidRPr="00170FFF">
          <w:rPr>
            <w:rStyle w:val="Hyperlink"/>
            <w:rFonts w:cstheme="minorHAnsi"/>
            <w:color w:val="0070C0"/>
            <w:sz w:val="28"/>
            <w:szCs w:val="28"/>
            <w:bdr w:val="none" w:sz="0" w:space="0" w:color="auto" w:frame="1"/>
            <w:lang w:val="en-US"/>
          </w:rPr>
          <w:t>Macroprudential</w:t>
        </w:r>
        <w:proofErr w:type="spellEnd"/>
        <w:r w:rsidR="00A87BD0" w:rsidRPr="00170FFF">
          <w:rPr>
            <w:rStyle w:val="Hyperlink"/>
            <w:rFonts w:cstheme="minorHAnsi"/>
            <w:color w:val="0070C0"/>
            <w:sz w:val="28"/>
            <w:szCs w:val="28"/>
            <w:bdr w:val="none" w:sz="0" w:space="0" w:color="auto" w:frame="1"/>
            <w:lang w:val="en-US"/>
          </w:rPr>
          <w:t xml:space="preserve"> Bulletin – A bird’s-eye view of the resilience of the European banking system: results from the new </w:t>
        </w:r>
        <w:proofErr w:type="spellStart"/>
        <w:r w:rsidR="00A87BD0" w:rsidRPr="00170FFF">
          <w:rPr>
            <w:rStyle w:val="Hyperlink"/>
            <w:rFonts w:cstheme="minorHAnsi"/>
            <w:color w:val="0070C0"/>
            <w:sz w:val="28"/>
            <w:szCs w:val="28"/>
            <w:bdr w:val="none" w:sz="0" w:space="0" w:color="auto" w:frame="1"/>
            <w:lang w:val="en-US"/>
          </w:rPr>
          <w:t>macroprudential</w:t>
        </w:r>
        <w:proofErr w:type="spellEnd"/>
        <w:r w:rsidR="00A87BD0" w:rsidRPr="00170FFF">
          <w:rPr>
            <w:rStyle w:val="Hyperlink"/>
            <w:rFonts w:cstheme="minorHAnsi"/>
            <w:color w:val="0070C0"/>
            <w:sz w:val="28"/>
            <w:szCs w:val="28"/>
            <w:bdr w:val="none" w:sz="0" w:space="0" w:color="auto" w:frame="1"/>
            <w:lang w:val="en-US"/>
          </w:rPr>
          <w:t xml:space="preserve"> stress test framework</w:t>
        </w:r>
      </w:hyperlink>
    </w:p>
    <w:p w:rsidR="00A87BD0" w:rsidRPr="00170FFF" w:rsidRDefault="00A87BD0" w:rsidP="00A87BD0">
      <w:pPr>
        <w:spacing w:line="276" w:lineRule="auto"/>
        <w:rPr>
          <w:rFonts w:cstheme="minorHAnsi"/>
          <w:color w:val="262626" w:themeColor="text1" w:themeTint="D9"/>
          <w:sz w:val="28"/>
          <w:szCs w:val="28"/>
          <w:lang w:val="en-US"/>
        </w:rPr>
      </w:pPr>
    </w:p>
    <w:p w:rsidR="00A87BD0" w:rsidRPr="00717879" w:rsidRDefault="00A87BD0" w:rsidP="00A87BD0">
      <w:pPr>
        <w:pStyle w:val="NormalWeb"/>
        <w:spacing w:line="276" w:lineRule="auto"/>
        <w:rPr>
          <w:rFonts w:asciiTheme="minorHAnsi" w:hAnsiTheme="minorHAnsi" w:cstheme="minorHAnsi"/>
        </w:rPr>
      </w:pPr>
      <w:r w:rsidRPr="00717879">
        <w:rPr>
          <w:rFonts w:asciiTheme="minorHAnsi" w:hAnsiTheme="minorHAnsi" w:cstheme="minorHAnsi"/>
          <w:noProof/>
        </w:rPr>
        <w:drawing>
          <wp:inline distT="0" distB="0" distL="0" distR="0" wp14:anchorId="4301EAE8" wp14:editId="3B9D9B40">
            <wp:extent cx="5288429" cy="5019675"/>
            <wp:effectExtent l="0" t="0" r="7620" b="0"/>
            <wp:docPr id="4" name="Picture 4" descr="C:\Users\dmalliaropulos\AppData\Local\Packages\Microsoft.Windows.Photos_8wekyb3d8bbwe\TempState\ShareServiceTempFolder\chart_2024-01-25_13-50-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malliaropulos\AppData\Local\Packages\Microsoft.Windows.Photos_8wekyb3d8bbwe\TempState\ShareServiceTempFolder\chart_2024-01-25_13-50-29.jpe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61588" cy="5089116"/>
                    </a:xfrm>
                    <a:prstGeom prst="rect">
                      <a:avLst/>
                    </a:prstGeom>
                    <a:noFill/>
                    <a:ln>
                      <a:noFill/>
                    </a:ln>
                  </pic:spPr>
                </pic:pic>
              </a:graphicData>
            </a:graphic>
          </wp:inline>
        </w:drawing>
      </w:r>
    </w:p>
    <w:p w:rsidR="00A87BD0" w:rsidRPr="00717879" w:rsidRDefault="00A87BD0" w:rsidP="00A87BD0">
      <w:pPr>
        <w:pStyle w:val="NormalWeb"/>
        <w:spacing w:line="276" w:lineRule="auto"/>
        <w:rPr>
          <w:rFonts w:asciiTheme="minorHAnsi" w:hAnsiTheme="minorHAnsi" w:cstheme="minorHAnsi"/>
        </w:rPr>
      </w:pPr>
      <w:r w:rsidRPr="00717879">
        <w:rPr>
          <w:rFonts w:asciiTheme="minorHAnsi" w:hAnsiTheme="minorHAnsi" w:cstheme="minorHAnsi"/>
          <w:noProof/>
        </w:rPr>
        <w:lastRenderedPageBreak/>
        <w:drawing>
          <wp:inline distT="0" distB="0" distL="0" distR="0" wp14:anchorId="2859BF57" wp14:editId="160E4553">
            <wp:extent cx="5414356" cy="6010275"/>
            <wp:effectExtent l="0" t="0" r="0" b="0"/>
            <wp:docPr id="5" name="Picture 5" descr="C:\Users\dmalliaropulos\AppData\Local\Packages\Microsoft.Windows.Photos_8wekyb3d8bbwe\TempState\ShareServiceTempFolder\chart_2024-01-25_13-5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malliaropulos\AppData\Local\Packages\Microsoft.Windows.Photos_8wekyb3d8bbwe\TempState\ShareServiceTempFolder\chart_2024-01-25_13-51-12.jpe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84949" cy="6088637"/>
                    </a:xfrm>
                    <a:prstGeom prst="rect">
                      <a:avLst/>
                    </a:prstGeom>
                    <a:noFill/>
                    <a:ln>
                      <a:noFill/>
                    </a:ln>
                  </pic:spPr>
                </pic:pic>
              </a:graphicData>
            </a:graphic>
          </wp:inline>
        </w:drawing>
      </w:r>
    </w:p>
    <w:p w:rsidR="00A87BD0" w:rsidRPr="00717879" w:rsidRDefault="00A87BD0" w:rsidP="00A87BD0">
      <w:pPr>
        <w:pStyle w:val="NormalWeb"/>
        <w:spacing w:line="276" w:lineRule="auto"/>
        <w:rPr>
          <w:rFonts w:asciiTheme="minorHAnsi" w:hAnsiTheme="minorHAnsi" w:cstheme="minorHAnsi"/>
        </w:rPr>
      </w:pPr>
      <w:r w:rsidRPr="00717879">
        <w:rPr>
          <w:rFonts w:asciiTheme="minorHAnsi" w:hAnsiTheme="minorHAnsi" w:cstheme="minorHAnsi"/>
          <w:noProof/>
        </w:rPr>
        <w:lastRenderedPageBreak/>
        <w:drawing>
          <wp:inline distT="0" distB="0" distL="0" distR="0" wp14:anchorId="3C863707" wp14:editId="03F9D207">
            <wp:extent cx="5656637" cy="5153025"/>
            <wp:effectExtent l="0" t="0" r="1270" b="0"/>
            <wp:docPr id="6" name="Picture 6" descr="C:\Users\dmalliaropulos\AppData\Local\Packages\Microsoft.Windows.Photos_8wekyb3d8bbwe\TempState\ShareServiceTempFolder\chart_2024-01-25_13-5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malliaropulos\AppData\Local\Packages\Microsoft.Windows.Photos_8wekyb3d8bbwe\TempState\ShareServiceTempFolder\chart_2024-01-25_13-53-5.jpe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89632" cy="5183083"/>
                    </a:xfrm>
                    <a:prstGeom prst="rect">
                      <a:avLst/>
                    </a:prstGeom>
                    <a:noFill/>
                    <a:ln>
                      <a:noFill/>
                    </a:ln>
                  </pic:spPr>
                </pic:pic>
              </a:graphicData>
            </a:graphic>
          </wp:inline>
        </w:drawing>
      </w:r>
    </w:p>
    <w:p w:rsidR="00A87BD0" w:rsidRPr="00717879" w:rsidRDefault="00A87BD0" w:rsidP="00A87BD0">
      <w:pPr>
        <w:spacing w:line="276" w:lineRule="auto"/>
        <w:rPr>
          <w:rFonts w:cstheme="minorHAnsi"/>
          <w:sz w:val="24"/>
          <w:szCs w:val="24"/>
          <w:lang w:val="en-US"/>
        </w:rPr>
      </w:pPr>
    </w:p>
    <w:p w:rsidR="00A87BD0" w:rsidRPr="00717879" w:rsidRDefault="00A87BD0" w:rsidP="00A87BD0">
      <w:pPr>
        <w:spacing w:line="276" w:lineRule="auto"/>
        <w:rPr>
          <w:rFonts w:cstheme="minorHAnsi"/>
          <w:noProof/>
          <w:sz w:val="24"/>
          <w:szCs w:val="24"/>
          <w:lang w:eastAsia="el-GR"/>
        </w:rPr>
      </w:pPr>
      <w:r w:rsidRPr="00717879">
        <w:rPr>
          <w:rFonts w:cstheme="minorHAnsi"/>
          <w:noProof/>
          <w:sz w:val="24"/>
          <w:szCs w:val="24"/>
          <w:lang w:eastAsia="el-GR"/>
        </w:rPr>
        <w:lastRenderedPageBreak/>
        <w:t xml:space="preserve">        </w:t>
      </w:r>
      <w:r w:rsidRPr="00717879">
        <w:rPr>
          <w:rFonts w:cstheme="minorHAnsi"/>
          <w:noProof/>
          <w:sz w:val="24"/>
          <w:szCs w:val="24"/>
          <w:lang w:eastAsia="el-GR"/>
        </w:rPr>
        <w:drawing>
          <wp:inline distT="0" distB="0" distL="0" distR="0" wp14:anchorId="50A6D411" wp14:editId="2B227BD9">
            <wp:extent cx="5791200" cy="4664475"/>
            <wp:effectExtent l="0" t="0" r="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799995" cy="4671559"/>
                    </a:xfrm>
                    <a:prstGeom prst="rect">
                      <a:avLst/>
                    </a:prstGeom>
                  </pic:spPr>
                </pic:pic>
              </a:graphicData>
            </a:graphic>
          </wp:inline>
        </w:drawing>
      </w:r>
      <w:r w:rsidRPr="00717879">
        <w:rPr>
          <w:rFonts w:cstheme="minorHAnsi"/>
          <w:noProof/>
          <w:sz w:val="24"/>
          <w:szCs w:val="24"/>
          <w:lang w:eastAsia="el-GR"/>
        </w:rPr>
        <w:t xml:space="preserve"> </w:t>
      </w:r>
      <w:r w:rsidRPr="00717879">
        <w:rPr>
          <w:rFonts w:cstheme="minorHAnsi"/>
          <w:noProof/>
          <w:sz w:val="24"/>
          <w:szCs w:val="24"/>
          <w:lang w:eastAsia="el-GR"/>
        </w:rPr>
        <w:drawing>
          <wp:inline distT="0" distB="0" distL="0" distR="0" wp14:anchorId="64F60E58" wp14:editId="4E912FFE">
            <wp:extent cx="5819699" cy="33337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827325" cy="3338118"/>
                    </a:xfrm>
                    <a:prstGeom prst="rect">
                      <a:avLst/>
                    </a:prstGeom>
                  </pic:spPr>
                </pic:pic>
              </a:graphicData>
            </a:graphic>
          </wp:inline>
        </w:drawing>
      </w:r>
      <w:r w:rsidRPr="00717879">
        <w:rPr>
          <w:rFonts w:cstheme="minorHAnsi"/>
          <w:noProof/>
          <w:sz w:val="24"/>
          <w:szCs w:val="24"/>
          <w:lang w:eastAsia="el-GR"/>
        </w:rPr>
        <w:t xml:space="preserve"> </w:t>
      </w:r>
      <w:r w:rsidRPr="00717879">
        <w:rPr>
          <w:rFonts w:cstheme="minorHAnsi"/>
          <w:noProof/>
          <w:sz w:val="24"/>
          <w:szCs w:val="24"/>
          <w:lang w:eastAsia="el-GR"/>
        </w:rPr>
        <w:lastRenderedPageBreak/>
        <w:drawing>
          <wp:inline distT="0" distB="0" distL="0" distR="0" wp14:anchorId="32EAFDF0" wp14:editId="7C1CB1C8">
            <wp:extent cx="5795751" cy="31337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801874" cy="3137036"/>
                    </a:xfrm>
                    <a:prstGeom prst="rect">
                      <a:avLst/>
                    </a:prstGeom>
                  </pic:spPr>
                </pic:pic>
              </a:graphicData>
            </a:graphic>
          </wp:inline>
        </w:drawing>
      </w:r>
      <w:r w:rsidRPr="00717879">
        <w:rPr>
          <w:rFonts w:cstheme="minorHAnsi"/>
          <w:noProof/>
          <w:sz w:val="24"/>
          <w:szCs w:val="24"/>
          <w:lang w:eastAsia="el-GR"/>
        </w:rPr>
        <w:t xml:space="preserve"> </w:t>
      </w:r>
      <w:r w:rsidRPr="00717879">
        <w:rPr>
          <w:rFonts w:cstheme="minorHAnsi"/>
          <w:noProof/>
          <w:sz w:val="24"/>
          <w:szCs w:val="24"/>
          <w:lang w:eastAsia="el-GR"/>
        </w:rPr>
        <w:drawing>
          <wp:inline distT="0" distB="0" distL="0" distR="0" wp14:anchorId="73DD3E70" wp14:editId="09B14767">
            <wp:extent cx="5864603" cy="2914650"/>
            <wp:effectExtent l="0" t="0" r="317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868097" cy="2916387"/>
                    </a:xfrm>
                    <a:prstGeom prst="rect">
                      <a:avLst/>
                    </a:prstGeom>
                  </pic:spPr>
                </pic:pic>
              </a:graphicData>
            </a:graphic>
          </wp:inline>
        </w:drawing>
      </w:r>
      <w:r w:rsidRPr="00717879">
        <w:rPr>
          <w:rFonts w:cstheme="minorHAnsi"/>
          <w:noProof/>
          <w:sz w:val="24"/>
          <w:szCs w:val="24"/>
          <w:lang w:eastAsia="el-GR"/>
        </w:rPr>
        <w:t xml:space="preserve"> </w:t>
      </w:r>
      <w:r w:rsidRPr="00717879">
        <w:rPr>
          <w:rFonts w:cstheme="minorHAnsi"/>
          <w:noProof/>
          <w:sz w:val="24"/>
          <w:szCs w:val="24"/>
          <w:lang w:eastAsia="el-GR"/>
        </w:rPr>
        <w:lastRenderedPageBreak/>
        <w:drawing>
          <wp:inline distT="0" distB="0" distL="0" distR="0" wp14:anchorId="710CDF81" wp14:editId="15E754B2">
            <wp:extent cx="5843489" cy="3057525"/>
            <wp:effectExtent l="0" t="0" r="508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850362" cy="3061121"/>
                    </a:xfrm>
                    <a:prstGeom prst="rect">
                      <a:avLst/>
                    </a:prstGeom>
                  </pic:spPr>
                </pic:pic>
              </a:graphicData>
            </a:graphic>
          </wp:inline>
        </w:drawing>
      </w:r>
    </w:p>
    <w:p w:rsidR="00A87BD0" w:rsidRPr="00717879" w:rsidRDefault="00A87BD0" w:rsidP="00A87BD0">
      <w:pPr>
        <w:spacing w:line="276" w:lineRule="auto"/>
        <w:rPr>
          <w:rFonts w:cstheme="minorHAnsi"/>
          <w:noProof/>
          <w:sz w:val="24"/>
          <w:szCs w:val="24"/>
          <w:lang w:eastAsia="el-GR"/>
        </w:rPr>
      </w:pPr>
    </w:p>
    <w:p w:rsidR="00A87BD0" w:rsidRPr="00717879" w:rsidRDefault="00A87BD0" w:rsidP="00A87BD0">
      <w:pPr>
        <w:spacing w:line="276" w:lineRule="auto"/>
        <w:rPr>
          <w:rFonts w:cstheme="minorHAnsi"/>
          <w:sz w:val="24"/>
          <w:szCs w:val="24"/>
          <w:lang w:val="en-US"/>
        </w:rPr>
      </w:pPr>
    </w:p>
    <w:p w:rsidR="00A87BD0" w:rsidRPr="00717879" w:rsidRDefault="00A87BD0" w:rsidP="00A87BD0">
      <w:pPr>
        <w:spacing w:line="276" w:lineRule="auto"/>
        <w:rPr>
          <w:rFonts w:cstheme="minorHAnsi"/>
          <w:sz w:val="24"/>
          <w:szCs w:val="24"/>
          <w:lang w:val="en-US"/>
        </w:rPr>
      </w:pPr>
    </w:p>
    <w:p w:rsidR="006B4D26" w:rsidRDefault="006B4D26"/>
    <w:sectPr w:rsidR="006B4D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62E1"/>
    <w:multiLevelType w:val="multilevel"/>
    <w:tmpl w:val="485A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43E21"/>
    <w:multiLevelType w:val="multilevel"/>
    <w:tmpl w:val="9270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31C7B"/>
    <w:multiLevelType w:val="multilevel"/>
    <w:tmpl w:val="8244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8B54FE"/>
    <w:multiLevelType w:val="multilevel"/>
    <w:tmpl w:val="98A6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716173"/>
    <w:multiLevelType w:val="multilevel"/>
    <w:tmpl w:val="6C0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D0"/>
    <w:rsid w:val="00170FFF"/>
    <w:rsid w:val="0029110D"/>
    <w:rsid w:val="003139F8"/>
    <w:rsid w:val="006B4D26"/>
    <w:rsid w:val="00A87BD0"/>
    <w:rsid w:val="00E739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B718C-8265-4075-BF72-50928190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BD0"/>
  </w:style>
  <w:style w:type="paragraph" w:styleId="Heading1">
    <w:name w:val="heading 1"/>
    <w:basedOn w:val="Normal"/>
    <w:link w:val="Heading1Char"/>
    <w:uiPriority w:val="9"/>
    <w:qFormat/>
    <w:rsid w:val="00A87B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A87B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87B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87B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BD0"/>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A87BD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87BD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87BD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A87BD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A87BD0"/>
    <w:rPr>
      <w:color w:val="0000FF"/>
      <w:u w:val="single"/>
    </w:rPr>
  </w:style>
  <w:style w:type="character" w:customStyle="1" w:styleId="attribution-details">
    <w:name w:val="attribution-details"/>
    <w:basedOn w:val="DefaultParagraphFont"/>
    <w:rsid w:val="00A8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nkingsupervision.europa.eu/banking/list/html/index.el.html" TargetMode="External"/><Relationship Id="rId18" Type="http://schemas.openxmlformats.org/officeDocument/2006/relationships/hyperlink" Target="https://www.bankingsupervision.europa.eu/banking/tasks/enforcement/html/index.el.html" TargetMode="External"/><Relationship Id="rId26" Type="http://schemas.openxmlformats.org/officeDocument/2006/relationships/hyperlink" Target="https://www.bankingsupervision.europa.eu/banking/list/html/index.el.html" TargetMode="External"/><Relationship Id="rId39" Type="http://schemas.openxmlformats.org/officeDocument/2006/relationships/image" Target="media/image2.jpeg"/><Relationship Id="rId21" Type="http://schemas.openxmlformats.org/officeDocument/2006/relationships/hyperlink" Target="https://www.bankingsupervision.europa.eu/banking/tasks/fit_and_proper_assessments/html/index.el.html" TargetMode="External"/><Relationship Id="rId34" Type="http://schemas.openxmlformats.org/officeDocument/2006/relationships/hyperlink" Target="https://www.ecb.europa.eu/pub/pdf/scpops/ecb.op281~05a7735b1c.en.pdf" TargetMode="External"/><Relationship Id="rId42" Type="http://schemas.openxmlformats.org/officeDocument/2006/relationships/image" Target="media/image5.png"/><Relationship Id="rId47" Type="http://schemas.openxmlformats.org/officeDocument/2006/relationships/theme" Target="theme/theme1.xml"/><Relationship Id="rId7" Type="http://schemas.openxmlformats.org/officeDocument/2006/relationships/hyperlink" Target="https://www.bankingsupervision.europa.eu/banking/approach/cycle/html/index.el.html" TargetMode="External"/><Relationship Id="rId2" Type="http://schemas.openxmlformats.org/officeDocument/2006/relationships/styles" Target="styles.xml"/><Relationship Id="rId16" Type="http://schemas.openxmlformats.org/officeDocument/2006/relationships/hyperlink" Target="https://www.bankingsupervision.europa.eu/banking/approach/jst/html/index.el.html" TargetMode="External"/><Relationship Id="rId29" Type="http://schemas.openxmlformats.org/officeDocument/2006/relationships/hyperlink" Target="https://www.bankingsupervision.europa.eu/press/pr/date/2020/html/ssm.pr200728_annex~d36d893ca2.el.pdf" TargetMode="External"/><Relationship Id="rId1" Type="http://schemas.openxmlformats.org/officeDocument/2006/relationships/numbering" Target="numbering.xml"/><Relationship Id="rId6" Type="http://schemas.openxmlformats.org/officeDocument/2006/relationships/hyperlink" Target="https://www.bankingsupervision.europa.eu/about/ssmexplained/html/qh.el.html" TargetMode="External"/><Relationship Id="rId11" Type="http://schemas.openxmlformats.org/officeDocument/2006/relationships/hyperlink" Target="https://www.bankingsupervision.europa.eu/banking/srep/html/index.el.html" TargetMode="External"/><Relationship Id="rId24" Type="http://schemas.openxmlformats.org/officeDocument/2006/relationships/hyperlink" Target="https://www.bankingsupervision.europa.eu/banking/srep/2019/html/index.el.html" TargetMode="External"/><Relationship Id="rId32" Type="http://schemas.openxmlformats.org/officeDocument/2006/relationships/hyperlink" Target="https://eba.europa.eu/sites/default/documents/files/documents/10180/2841396/ba66328f-476f-4707-9a23-6df5957dc8c1/2020%20EU-wide%20stress%20test%20-%20Draft%20Methodological%20Note.pdf?retry=1" TargetMode="External"/><Relationship Id="rId37" Type="http://schemas.openxmlformats.org/officeDocument/2006/relationships/hyperlink" Target="https://www.ecb.europa.eu/pub/financial-stability/macroprudential-bulletin/html/ecb.mpbu201903_02~1c991bdf1f.en.html" TargetMode="External"/><Relationship Id="rId40" Type="http://schemas.openxmlformats.org/officeDocument/2006/relationships/image" Target="media/image3.jpeg"/><Relationship Id="rId45" Type="http://schemas.openxmlformats.org/officeDocument/2006/relationships/image" Target="media/image8.png"/><Relationship Id="rId5" Type="http://schemas.openxmlformats.org/officeDocument/2006/relationships/hyperlink" Target="https://www.bankingsupervision.europa.eu/about/bankingunion/html/index.el.html" TargetMode="External"/><Relationship Id="rId15" Type="http://schemas.openxmlformats.org/officeDocument/2006/relationships/hyperlink" Target="https://www.bankingsupervision.europa.eu/banking/statistics/html/index.el.html" TargetMode="External"/><Relationship Id="rId23" Type="http://schemas.openxmlformats.org/officeDocument/2006/relationships/hyperlink" Target="https://www.bankingsupervision.europa.eu/banking/portal/html/index.el.html" TargetMode="External"/><Relationship Id="rId28" Type="http://schemas.openxmlformats.org/officeDocument/2006/relationships/hyperlink" Target="https://www.esrb.europa.eu/mppa/stress/html/index.en.html?skey=31%20January%202023" TargetMode="External"/><Relationship Id="rId36" Type="http://schemas.openxmlformats.org/officeDocument/2006/relationships/hyperlink" Target="https://www.ecb.europa.eu/pub/financial-stability/macroprudential-bulletin/html/ecb.mpbu201910_3~7da43c7c16.en.html" TargetMode="External"/><Relationship Id="rId10" Type="http://schemas.openxmlformats.org/officeDocument/2006/relationships/hyperlink" Target="https://www.ecb.europa.eu/pub/pdf/other/en_dec_2014_05_fen.pdf?5105e4c768e886be0f5844b03a868418" TargetMode="External"/><Relationship Id="rId19" Type="http://schemas.openxmlformats.org/officeDocument/2006/relationships/hyperlink" Target="https://www.bankingsupervision.europa.eu/banking/tasks/sanctions/html/index.el.html" TargetMode="External"/><Relationship Id="rId31" Type="http://schemas.openxmlformats.org/officeDocument/2006/relationships/hyperlink" Target="https://www.bankingsupervision.europa.eu/press/publications/annual-report/html/ssm.ar2022~e4b57f3b89.el.html" TargetMode="External"/><Relationship Id="rId44"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bankingsupervision.europa.eu/banking/approach/jst/html/index.el.html" TargetMode="External"/><Relationship Id="rId14" Type="http://schemas.openxmlformats.org/officeDocument/2006/relationships/hyperlink" Target="https://www.bankingsupervision.europa.eu/banking/tasks/stresstests/html/index.el.html" TargetMode="External"/><Relationship Id="rId22" Type="http://schemas.openxmlformats.org/officeDocument/2006/relationships/hyperlink" Target="https://www.bankingsupervision.europa.eu/organisation/whoiswho/administrativeboardofreview/html/index.el.html" TargetMode="External"/><Relationship Id="rId27" Type="http://schemas.openxmlformats.org/officeDocument/2006/relationships/hyperlink" Target="https://eur-lex.europa.eu/legal-content/EN/TXT/?qid=1583414487265&amp;uri=CELEX:32013L0036" TargetMode="External"/><Relationship Id="rId30" Type="http://schemas.openxmlformats.org/officeDocument/2006/relationships/hyperlink" Target="https://www.ecb.europa.eu/pub/financial-stability/fsr/focus/2022/html/ecb.fsrbox202205_06~9aaa17d9e8.en.html" TargetMode="External"/><Relationship Id="rId35" Type="http://schemas.openxmlformats.org/officeDocument/2006/relationships/hyperlink" Target="https://www.ecb.europa.eu/pub/financial-stability/fsr/html/ecb.fsr201911~facad0251f.en.html" TargetMode="External"/><Relationship Id="rId43" Type="http://schemas.openxmlformats.org/officeDocument/2006/relationships/image" Target="media/image6.png"/><Relationship Id="rId8" Type="http://schemas.openxmlformats.org/officeDocument/2006/relationships/hyperlink" Target="https://www.bankingsupervision.europa.eu/banking/list/criteria/html/index.el.html" TargetMode="External"/><Relationship Id="rId3" Type="http://schemas.openxmlformats.org/officeDocument/2006/relationships/settings" Target="settings.xml"/><Relationship Id="rId12" Type="http://schemas.openxmlformats.org/officeDocument/2006/relationships/hyperlink" Target="https://www.bankingsupervision.europa.eu/banking/priorities/html/index.el.html" TargetMode="External"/><Relationship Id="rId17" Type="http://schemas.openxmlformats.org/officeDocument/2006/relationships/hyperlink" Target="https://www.bankingsupervision.europa.eu/banking/tasks/measures/html/index.el.html" TargetMode="External"/><Relationship Id="rId25" Type="http://schemas.openxmlformats.org/officeDocument/2006/relationships/hyperlink" Target="https://www.bankingsupervision.europa.eu/banking/tasks/comprehensive_assessment/html/index.el.html" TargetMode="External"/><Relationship Id="rId33" Type="http://schemas.openxmlformats.org/officeDocument/2006/relationships/hyperlink" Target="https://www.ecb.europa.eu/pub/pdf/other/ecb.macroprudentialstresstesteuroareabankingsystemcoronaviruspandemic2021~7ff1fa3237.en.pdf" TargetMode="External"/><Relationship Id="rId38" Type="http://schemas.openxmlformats.org/officeDocument/2006/relationships/image" Target="media/image1.jpeg"/><Relationship Id="rId46" Type="http://schemas.openxmlformats.org/officeDocument/2006/relationships/fontTable" Target="fontTable.xml"/><Relationship Id="rId20" Type="http://schemas.openxmlformats.org/officeDocument/2006/relationships/hyperlink" Target="https://www.bankingsupervision.europa.eu/banking/tasks/authorisation/html/index.el.html" TargetMode="External"/><Relationship Id="rId4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3200</Words>
  <Characters>17286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Bank of Greece</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Malliaropulos Dimitrios</dc:creator>
  <cp:keywords/>
  <dc:description/>
  <cp:lastModifiedBy>Malliaropulos Dimitrios</cp:lastModifiedBy>
  <cp:revision>1</cp:revision>
  <dcterms:created xsi:type="dcterms:W3CDTF">2024-04-17T10:37:00Z</dcterms:created>
  <dcterms:modified xsi:type="dcterms:W3CDTF">2024-05-09T09:25:00Z</dcterms:modified>
</cp:coreProperties>
</file>