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3E8D" w14:textId="3F459F39" w:rsidR="00CC662F" w:rsidRDefault="00BF738D" w:rsidP="00BF738D">
      <w:pPr>
        <w:jc w:val="center"/>
        <w:rPr>
          <w:b/>
          <w:bCs/>
          <w:sz w:val="30"/>
          <w:szCs w:val="30"/>
          <w:u w:val="single"/>
        </w:rPr>
      </w:pPr>
      <w:r w:rsidRPr="00BF738D">
        <w:rPr>
          <w:b/>
          <w:bCs/>
          <w:sz w:val="30"/>
          <w:szCs w:val="30"/>
          <w:u w:val="single"/>
        </w:rPr>
        <w:t>ΑΣΚΗΣΕΙΣ ΕΝΟΤΗΤΑΣ 4 – ΧΑΡΤΟΦΥΛΑΚΙΟ ΜΕΤΟΧΩΝ</w:t>
      </w:r>
    </w:p>
    <w:p w14:paraId="510E9716" w14:textId="77777777" w:rsidR="00BF738D" w:rsidRDefault="00BF738D" w:rsidP="00BF738D">
      <w:pPr>
        <w:rPr>
          <w:b/>
          <w:bCs/>
          <w:sz w:val="26"/>
          <w:szCs w:val="26"/>
          <w:u w:val="single"/>
        </w:rPr>
      </w:pPr>
    </w:p>
    <w:p w14:paraId="69A2AF99" w14:textId="06FE564D" w:rsidR="00BF738D" w:rsidRDefault="00BF738D" w:rsidP="00BF738D">
      <w:pPr>
        <w:pStyle w:val="ListParagraph"/>
        <w:numPr>
          <w:ilvl w:val="0"/>
          <w:numId w:val="2"/>
        </w:numPr>
      </w:pPr>
      <w:r>
        <w:t xml:space="preserve">Ο συντελεστής συσχέτισης 2 μετοχών Α και Β είναι 0.1. Η μέση τιμή και η τυπική απόκλιση της Α είναι 10% και 15% αντίστοιχα, ενώ για τη Β είναι 18% και 30% αντίστοιχα. </w:t>
      </w:r>
    </w:p>
    <w:p w14:paraId="7A0152BF" w14:textId="0CC2178A" w:rsidR="00BF738D" w:rsidRDefault="00D040E1" w:rsidP="00BF738D">
      <w:pPr>
        <w:pStyle w:val="ListParagraph"/>
        <w:ind w:left="360"/>
      </w:pPr>
      <w:r>
        <w:t xml:space="preserve">Α) </w:t>
      </w:r>
      <w:r w:rsidR="00BF738D">
        <w:t>Βρείτε τί ποσοστό πρέπει να επενδυθεί στην κάθε μία από τις δύο μετοχές ώστε το χαρτοφυλάκιο να έχει την ελάχιστη τυπική απόκλιση</w:t>
      </w:r>
      <w:r>
        <w:t>.</w:t>
      </w:r>
    </w:p>
    <w:p w14:paraId="644B6FDB" w14:textId="0F87A6E8" w:rsidR="00D040E1" w:rsidRDefault="00D040E1" w:rsidP="00BF738D">
      <w:pPr>
        <w:pStyle w:val="ListParagraph"/>
        <w:ind w:left="360"/>
      </w:pPr>
      <w:r>
        <w:t>Β) Ποιά είναι η ελάχιστη τυπική απόκλιση?</w:t>
      </w:r>
    </w:p>
    <w:p w14:paraId="39D9415D" w14:textId="495FCE03" w:rsidR="00D040E1" w:rsidRDefault="00D040E1" w:rsidP="00BF738D">
      <w:pPr>
        <w:pStyle w:val="ListParagraph"/>
        <w:ind w:left="360"/>
      </w:pPr>
      <w:r>
        <w:t>Γ) Ποιά είναι η αναμενόμενη απόδοση του χαρτοφυλακίου?</w:t>
      </w:r>
    </w:p>
    <w:p w14:paraId="72035179" w14:textId="77777777" w:rsidR="00D040E1" w:rsidRDefault="00D040E1" w:rsidP="00BF738D">
      <w:pPr>
        <w:pStyle w:val="ListParagraph"/>
        <w:ind w:left="360"/>
      </w:pPr>
    </w:p>
    <w:p w14:paraId="7B8DE15C" w14:textId="77777777" w:rsidR="00D040E1" w:rsidRDefault="00D040E1" w:rsidP="00BF738D">
      <w:pPr>
        <w:pStyle w:val="ListParagraph"/>
        <w:ind w:left="360"/>
      </w:pPr>
    </w:p>
    <w:p w14:paraId="0FEA866C" w14:textId="53CBA813" w:rsidR="00D040E1" w:rsidRDefault="00D040E1" w:rsidP="00D040E1">
      <w:pPr>
        <w:pStyle w:val="ListParagraph"/>
        <w:numPr>
          <w:ilvl w:val="0"/>
          <w:numId w:val="2"/>
        </w:numPr>
      </w:pPr>
      <w:r>
        <w:t xml:space="preserve">Έστω ο παρακάτω πίνακας </w:t>
      </w:r>
      <w:r>
        <w:rPr>
          <w:lang w:val="en-US"/>
        </w:rPr>
        <w:t>Variance</w:t>
      </w:r>
      <w:r w:rsidRPr="00D040E1">
        <w:t>-</w:t>
      </w:r>
      <w:r>
        <w:rPr>
          <w:lang w:val="en-US"/>
        </w:rPr>
        <w:t>Covariance.</w:t>
      </w:r>
    </w:p>
    <w:p w14:paraId="2734E649" w14:textId="237DCA9D" w:rsidR="00D040E1" w:rsidRDefault="00000000" w:rsidP="00D040E1">
      <w:pPr>
        <w:pStyle w:val="ListParagraph"/>
        <w:ind w:left="360"/>
      </w:pPr>
      <m:oMathPara>
        <m:oMath>
          <m:m>
            <m:mPr>
              <m:mcs>
                <m:mc>
                  <m:mcPr>
                    <m:count m:val="3"/>
                    <m:mcJc m:val="center"/>
                  </m:mcPr>
                </m:mc>
              </m:mcs>
              <m:ctrlPr>
                <w:rPr>
                  <w:rFonts w:ascii="Cambria Math" w:hAnsi="Cambria Math"/>
                  <w:i/>
                </w:rPr>
              </m:ctrlPr>
            </m:mPr>
            <m:mr>
              <m:e>
                <m:r>
                  <w:rPr>
                    <w:rFonts w:ascii="Cambria Math" w:hAnsi="Cambria Math"/>
                  </w:rPr>
                  <m:t>24</m:t>
                </m:r>
              </m:e>
              <m:e>
                <m:r>
                  <w:rPr>
                    <w:rFonts w:ascii="Cambria Math" w:hAnsi="Cambria Math"/>
                  </w:rPr>
                  <m:t>-10</m:t>
                </m:r>
              </m:e>
              <m:e>
                <m:r>
                  <w:rPr>
                    <w:rFonts w:ascii="Cambria Math" w:hAnsi="Cambria Math"/>
                  </w:rPr>
                  <m:t>25</m:t>
                </m:r>
              </m:e>
            </m:mr>
            <m:mr>
              <m:e>
                <m:r>
                  <w:rPr>
                    <w:rFonts w:ascii="Cambria Math" w:hAnsi="Cambria Math"/>
                  </w:rPr>
                  <m:t>-10</m:t>
                </m:r>
              </m:e>
              <m:e>
                <m:r>
                  <w:rPr>
                    <w:rFonts w:ascii="Cambria Math" w:hAnsi="Cambria Math"/>
                  </w:rPr>
                  <m:t>75</m:t>
                </m:r>
              </m:e>
              <m:e>
                <m:r>
                  <w:rPr>
                    <w:rFonts w:ascii="Cambria Math" w:hAnsi="Cambria Math"/>
                  </w:rPr>
                  <m:t>32</m:t>
                </m:r>
              </m:e>
            </m:mr>
            <m:mr>
              <m:e>
                <m:r>
                  <w:rPr>
                    <w:rFonts w:ascii="Cambria Math" w:hAnsi="Cambria Math"/>
                  </w:rPr>
                  <m:t>25</m:t>
                </m:r>
              </m:e>
              <m:e>
                <m:r>
                  <w:rPr>
                    <w:rFonts w:ascii="Cambria Math" w:hAnsi="Cambria Math"/>
                  </w:rPr>
                  <m:t>32</m:t>
                </m:r>
              </m:e>
              <m:e>
                <m:r>
                  <w:rPr>
                    <w:rFonts w:ascii="Cambria Math" w:hAnsi="Cambria Math"/>
                  </w:rPr>
                  <m:t>12</m:t>
                </m:r>
              </m:e>
            </m:mr>
          </m:m>
        </m:oMath>
      </m:oMathPara>
    </w:p>
    <w:p w14:paraId="46372EA8" w14:textId="23686732" w:rsidR="00D040E1" w:rsidRDefault="00D040E1" w:rsidP="00D040E1">
      <w:pPr>
        <w:pStyle w:val="ListParagraph"/>
        <w:ind w:left="360"/>
      </w:pPr>
      <w:r>
        <w:t>Α) Βρείτε τη διασπορά ενός χαρτοφυλακίου το οποίο έχει ίσα ποσοστά στις 3 μετοχές.</w:t>
      </w:r>
    </w:p>
    <w:p w14:paraId="2EC18357" w14:textId="704492B8" w:rsidR="00D040E1" w:rsidRDefault="00D040E1" w:rsidP="00D040E1">
      <w:pPr>
        <w:pStyle w:val="ListParagraph"/>
        <w:ind w:left="360"/>
      </w:pPr>
      <w:r>
        <w:t>Β) Βρείτε τη συνδιακύμανση ενός χαρτοφυλακίου που έχει 10% στην μετοχή 1, 80% στη 2, και 10% στην 3, με ένα χαρτοφυλάκιο που έχει 125% στην 1, -10% στη 2 και -15% στην 3.</w:t>
      </w:r>
    </w:p>
    <w:p w14:paraId="2F4AA90C" w14:textId="77777777" w:rsidR="00D040E1" w:rsidRDefault="00D040E1" w:rsidP="00D040E1">
      <w:pPr>
        <w:pStyle w:val="ListParagraph"/>
        <w:ind w:left="360"/>
      </w:pPr>
    </w:p>
    <w:p w14:paraId="6F104781" w14:textId="6D445FBC" w:rsidR="00D040E1" w:rsidRDefault="00E5099B" w:rsidP="00D040E1">
      <w:pPr>
        <w:pStyle w:val="ListParagraph"/>
        <w:numPr>
          <w:ilvl w:val="0"/>
          <w:numId w:val="2"/>
        </w:numPr>
      </w:pPr>
      <w:r>
        <w:t>Αποδείξτε ότι, για δύο μετοχές Χ και Υ ισχύει</w:t>
      </w:r>
      <w:r w:rsidRPr="00E5099B">
        <w:t>:</w:t>
      </w:r>
    </w:p>
    <w:p w14:paraId="3BF5AD3E" w14:textId="47D7F6F0" w:rsidR="00E5099B" w:rsidRDefault="00E5099B" w:rsidP="00E5099B">
      <w:pPr>
        <w:pStyle w:val="ListParagraph"/>
        <w:ind w:left="360"/>
      </w:pPr>
      <w:r>
        <w:t xml:space="preserve">Α) </w:t>
      </w:r>
      <w:r w:rsidRPr="00E5099B">
        <w:t>Cov(αX+bZ,Y)</w:t>
      </w:r>
      <w:r w:rsidR="00E56733" w:rsidRPr="00E56733">
        <w:t xml:space="preserve"> </w:t>
      </w:r>
      <w:r w:rsidRPr="00E5099B">
        <w:t>=</w:t>
      </w:r>
      <w:r w:rsidR="00E56733" w:rsidRPr="00E56733">
        <w:t xml:space="preserve"> </w:t>
      </w:r>
      <w:r w:rsidRPr="00E5099B">
        <w:t>αCov(X,Y)</w:t>
      </w:r>
      <w:r w:rsidR="00E56733" w:rsidRPr="00E56733">
        <w:t xml:space="preserve"> </w:t>
      </w:r>
      <w:r w:rsidRPr="00E5099B">
        <w:t>+</w:t>
      </w:r>
      <w:r w:rsidR="00E56733" w:rsidRPr="00E56733">
        <w:t xml:space="preserve"> </w:t>
      </w:r>
      <w:r w:rsidRPr="00E5099B">
        <w:t>bCov(Z,Y)</w:t>
      </w:r>
    </w:p>
    <w:p w14:paraId="4D3DADDB" w14:textId="5E16C28A" w:rsidR="00E5099B" w:rsidRPr="00E63F15" w:rsidRDefault="00E5099B" w:rsidP="00E5099B">
      <w:pPr>
        <w:pStyle w:val="ListParagraph"/>
        <w:ind w:left="360"/>
        <w:rPr>
          <w:lang w:val="en-US"/>
        </w:rPr>
      </w:pPr>
      <w:r>
        <w:t>Β</w:t>
      </w:r>
      <w:r w:rsidRPr="00E63F15">
        <w:rPr>
          <w:lang w:val="en-US"/>
        </w:rPr>
        <w:t xml:space="preserve">) </w:t>
      </w:r>
      <m:oMath>
        <m:r>
          <w:rPr>
            <w:rFonts w:ascii="Cambria Math" w:hAnsi="Cambria Math"/>
          </w:rPr>
          <m:t>E</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d>
              <m:dPr>
                <m:ctrlPr>
                  <w:rPr>
                    <w:rFonts w:ascii="Cambria Math" w:hAnsi="Cambria Math"/>
                    <w:i/>
                    <w:lang w:val="en-US"/>
                  </w:rPr>
                </m:ctrlPr>
              </m:dPr>
              <m:e>
                <m:r>
                  <w:rPr>
                    <w:rFonts w:ascii="Cambria Math" w:hAnsi="Cambria Math"/>
                    <w:lang w:val="en-US"/>
                  </w:rPr>
                  <m:t>x</m:t>
                </m:r>
              </m:e>
            </m:d>
            <m:r>
              <w:rPr>
                <w:rFonts w:ascii="Cambria Math" w:hAnsi="Cambria Math"/>
                <w:lang w:val="en-US"/>
              </w:rPr>
              <m:t>)</m:t>
            </m:r>
          </m:e>
          <m:sup>
            <m:r>
              <w:rPr>
                <w:rFonts w:ascii="Cambria Math" w:hAnsi="Cambria Math"/>
                <w:lang w:val="en-US"/>
              </w:rPr>
              <m:t>2</m:t>
            </m:r>
          </m:sup>
        </m:sSup>
        <m:r>
          <w:rPr>
            <w:rFonts w:ascii="Cambria Math" w:hAnsi="Cambria Math"/>
            <w:lang w:val="en-US"/>
          </w:rPr>
          <m:t>+Var(x)</m:t>
        </m:r>
      </m:oMath>
    </w:p>
    <w:p w14:paraId="78DED299" w14:textId="780AA0E7" w:rsidR="00A86C1A" w:rsidRPr="00A86C1A" w:rsidRDefault="00E5099B" w:rsidP="00A86C1A">
      <w:pPr>
        <w:pStyle w:val="ListParagraph"/>
        <w:ind w:left="360"/>
      </w:pPr>
      <w:r>
        <w:t xml:space="preserve">Γ) </w:t>
      </w:r>
      <m:oMath>
        <m:r>
          <w:rPr>
            <w:rFonts w:ascii="Cambria Math" w:hAnsi="Cambria Math"/>
          </w:rPr>
          <m:t xml:space="preserve">Αν </m:t>
        </m:r>
        <m:sSub>
          <m:sSubPr>
            <m:ctrlPr>
              <w:rPr>
                <w:rFonts w:ascii="Cambria Math" w:hAnsi="Cambria Math"/>
              </w:rPr>
            </m:ctrlPr>
          </m:sSubPr>
          <m:e>
            <m:r>
              <w:rPr>
                <w:rFonts w:ascii="Cambria Math" w:hAnsi="Cambria Math"/>
              </w:rPr>
              <m:t>r</m:t>
            </m:r>
          </m:e>
          <m:sub>
            <m:r>
              <w:rPr>
                <w:rFonts w:ascii="Cambria Math" w:hAnsi="Cambria Math"/>
              </w:rPr>
              <m:t>xy</m:t>
            </m:r>
          </m:sub>
        </m:sSub>
        <m:r>
          <w:rPr>
            <w:rFonts w:ascii="Cambria Math" w:hAnsi="Cambria Math"/>
          </w:rPr>
          <m:t>=1</m:t>
        </m:r>
      </m:oMath>
      <w:r w:rsidR="00A86C1A">
        <w:t xml:space="preserve"> </w:t>
      </w:r>
      <w:r w:rsidR="00A86C1A" w:rsidRPr="00A86C1A">
        <w:t xml:space="preserve">τότε </w:t>
      </w:r>
      <m:oMath>
        <m:r>
          <w:rPr>
            <w:rFonts w:ascii="Cambria Math" w:hAnsi="Cambria Math"/>
          </w:rPr>
          <m:t>σ(x+y)=σx+σy</m:t>
        </m:r>
      </m:oMath>
    </w:p>
    <w:p w14:paraId="174223C8" w14:textId="3A7D4AA8" w:rsidR="00A86C1A" w:rsidRDefault="00A86C1A" w:rsidP="00A86C1A">
      <w:pPr>
        <w:pStyle w:val="ListParagraph"/>
        <w:ind w:left="360"/>
        <w:rPr>
          <w:rFonts w:eastAsiaTheme="minorEastAsia"/>
          <w:lang w:val="en-US"/>
        </w:rPr>
      </w:pPr>
      <m:oMath>
        <m:r>
          <w:rPr>
            <w:rFonts w:ascii="Cambria Math" w:hAnsi="Cambria Math"/>
          </w:rPr>
          <m:t xml:space="preserve">   Αν  </m:t>
        </m:r>
        <m:sSub>
          <m:sSubPr>
            <m:ctrlPr>
              <w:rPr>
                <w:rFonts w:ascii="Cambria Math" w:hAnsi="Cambria Math"/>
              </w:rPr>
            </m:ctrlPr>
          </m:sSubPr>
          <m:e>
            <m:r>
              <w:rPr>
                <w:rFonts w:ascii="Cambria Math" w:hAnsi="Cambria Math"/>
              </w:rPr>
              <m:t>r</m:t>
            </m:r>
          </m:e>
          <m:sub>
            <m:r>
              <w:rPr>
                <w:rFonts w:ascii="Cambria Math" w:hAnsi="Cambria Math"/>
              </w:rPr>
              <m:t>xy</m:t>
            </m:r>
          </m:sub>
        </m:sSub>
        <m:r>
          <w:rPr>
            <w:rFonts w:ascii="Cambria Math" w:hAnsi="Cambria Math"/>
          </w:rPr>
          <m:t>=-1</m:t>
        </m:r>
      </m:oMath>
      <w:r w:rsidRPr="00A86C1A">
        <w:t xml:space="preserve">τότε </w:t>
      </w:r>
      <m:oMath>
        <m:r>
          <w:rPr>
            <w:rFonts w:ascii="Cambria Math" w:hAnsi="Cambria Math"/>
          </w:rPr>
          <m:t>σ(x+y)=σx-σy</m:t>
        </m:r>
      </m:oMath>
    </w:p>
    <w:p w14:paraId="57CD468E" w14:textId="77777777" w:rsidR="00E66256" w:rsidRDefault="00E66256" w:rsidP="00A86C1A">
      <w:pPr>
        <w:pStyle w:val="ListParagraph"/>
        <w:ind w:left="360"/>
        <w:rPr>
          <w:rFonts w:eastAsiaTheme="minorEastAsia"/>
          <w:lang w:val="en-US"/>
        </w:rPr>
      </w:pPr>
    </w:p>
    <w:p w14:paraId="349ACE2D" w14:textId="6953C5BF" w:rsidR="00E66256" w:rsidRPr="00E66256" w:rsidRDefault="00E66256" w:rsidP="00E66256">
      <w:pPr>
        <w:pStyle w:val="ListParagraph"/>
        <w:numPr>
          <w:ilvl w:val="0"/>
          <w:numId w:val="2"/>
        </w:numPr>
        <w:jc w:val="both"/>
        <w:rPr>
          <w:sz w:val="24"/>
          <w:szCs w:val="24"/>
        </w:rPr>
      </w:pPr>
      <w:r w:rsidRPr="00E66256">
        <w:rPr>
          <w:b/>
          <w:bCs/>
          <w:sz w:val="24"/>
          <w:szCs w:val="24"/>
        </w:rPr>
        <w:t>Α.</w:t>
      </w:r>
      <w:r w:rsidRPr="00E66256">
        <w:rPr>
          <w:sz w:val="24"/>
          <w:szCs w:val="24"/>
        </w:rPr>
        <w:t xml:space="preserve"> Να αξιολογηθούν συγκριτικά οι παρακάτω τρεις μετοχές σύμφωνα με το συντελεστή μεταβλητότητας. Δίνονται στον παρακάτω πίνακα οι μηνιαίες αποδόσεις των τριών μετοχών:</w:t>
      </w:r>
    </w:p>
    <w:tbl>
      <w:tblPr>
        <w:tblStyle w:val="TableGrid"/>
        <w:tblW w:w="0" w:type="auto"/>
        <w:jc w:val="center"/>
        <w:tblLook w:val="04A0" w:firstRow="1" w:lastRow="0" w:firstColumn="1" w:lastColumn="0" w:noHBand="0" w:noVBand="1"/>
      </w:tblPr>
      <w:tblGrid>
        <w:gridCol w:w="1005"/>
        <w:gridCol w:w="1332"/>
        <w:gridCol w:w="1319"/>
        <w:gridCol w:w="1298"/>
      </w:tblGrid>
      <w:tr w:rsidR="00E66256" w14:paraId="75ADBF58" w14:textId="77777777" w:rsidTr="00D56C85">
        <w:trPr>
          <w:jc w:val="center"/>
        </w:trPr>
        <w:tc>
          <w:tcPr>
            <w:tcW w:w="1005" w:type="dxa"/>
          </w:tcPr>
          <w:p w14:paraId="31E45516" w14:textId="77777777" w:rsidR="00E66256" w:rsidRPr="00B03AAE" w:rsidRDefault="00E66256" w:rsidP="00D56C85">
            <w:pPr>
              <w:jc w:val="center"/>
              <w:rPr>
                <w:rFonts w:eastAsia="MS Mincho"/>
                <w:b/>
                <w:bCs/>
                <w:color w:val="000000"/>
                <w:sz w:val="24"/>
                <w:szCs w:val="24"/>
                <w:lang w:eastAsia="ja-JP"/>
              </w:rPr>
            </w:pPr>
            <w:r w:rsidRPr="00B03AAE">
              <w:rPr>
                <w:rFonts w:eastAsia="MS Mincho"/>
                <w:b/>
                <w:bCs/>
                <w:color w:val="000000"/>
                <w:sz w:val="24"/>
                <w:szCs w:val="24"/>
                <w:lang w:eastAsia="ja-JP"/>
              </w:rPr>
              <w:t>Μήνας</w:t>
            </w:r>
          </w:p>
        </w:tc>
        <w:tc>
          <w:tcPr>
            <w:tcW w:w="1332" w:type="dxa"/>
          </w:tcPr>
          <w:p w14:paraId="1FA10470" w14:textId="77777777" w:rsidR="00E66256" w:rsidRPr="00B03AAE" w:rsidRDefault="00E66256" w:rsidP="00D56C85">
            <w:pPr>
              <w:jc w:val="center"/>
              <w:rPr>
                <w:rFonts w:eastAsia="MS Mincho"/>
                <w:b/>
                <w:bCs/>
                <w:color w:val="000000"/>
                <w:sz w:val="24"/>
                <w:szCs w:val="24"/>
                <w:lang w:eastAsia="ja-JP"/>
              </w:rPr>
            </w:pPr>
            <w:r w:rsidRPr="00B03AAE">
              <w:rPr>
                <w:rFonts w:eastAsia="MS Mincho"/>
                <w:b/>
                <w:bCs/>
                <w:color w:val="000000"/>
                <w:sz w:val="24"/>
                <w:szCs w:val="24"/>
                <w:lang w:eastAsia="ja-JP"/>
              </w:rPr>
              <w:t>Μετοχή Α</w:t>
            </w:r>
          </w:p>
        </w:tc>
        <w:tc>
          <w:tcPr>
            <w:tcW w:w="1319" w:type="dxa"/>
          </w:tcPr>
          <w:p w14:paraId="7F33EF30" w14:textId="77777777" w:rsidR="00E66256" w:rsidRPr="00B03AAE" w:rsidRDefault="00E66256" w:rsidP="00D56C85">
            <w:pPr>
              <w:jc w:val="center"/>
              <w:rPr>
                <w:rFonts w:eastAsia="MS Mincho"/>
                <w:b/>
                <w:bCs/>
                <w:color w:val="000000"/>
                <w:sz w:val="24"/>
                <w:szCs w:val="24"/>
                <w:lang w:eastAsia="ja-JP"/>
              </w:rPr>
            </w:pPr>
            <w:r w:rsidRPr="00B03AAE">
              <w:rPr>
                <w:rFonts w:eastAsia="MS Mincho"/>
                <w:b/>
                <w:bCs/>
                <w:color w:val="000000"/>
                <w:sz w:val="24"/>
                <w:szCs w:val="24"/>
                <w:lang w:eastAsia="ja-JP"/>
              </w:rPr>
              <w:t>Μετοχή Β</w:t>
            </w:r>
          </w:p>
        </w:tc>
        <w:tc>
          <w:tcPr>
            <w:tcW w:w="1298" w:type="dxa"/>
          </w:tcPr>
          <w:p w14:paraId="066BEE9D" w14:textId="77777777" w:rsidR="00E66256" w:rsidRPr="00B03AAE" w:rsidRDefault="00E66256" w:rsidP="00D56C85">
            <w:pPr>
              <w:jc w:val="center"/>
              <w:rPr>
                <w:rFonts w:eastAsia="MS Mincho"/>
                <w:b/>
                <w:bCs/>
                <w:color w:val="000000"/>
                <w:sz w:val="24"/>
                <w:szCs w:val="24"/>
                <w:lang w:eastAsia="ja-JP"/>
              </w:rPr>
            </w:pPr>
            <w:r w:rsidRPr="00B03AAE">
              <w:rPr>
                <w:rFonts w:eastAsia="MS Mincho"/>
                <w:b/>
                <w:bCs/>
                <w:color w:val="000000"/>
                <w:sz w:val="24"/>
                <w:szCs w:val="24"/>
                <w:lang w:eastAsia="ja-JP"/>
              </w:rPr>
              <w:t>Μετοχή Γ</w:t>
            </w:r>
          </w:p>
        </w:tc>
      </w:tr>
      <w:tr w:rsidR="00E66256" w14:paraId="17EA68C2" w14:textId="77777777" w:rsidTr="00D56C85">
        <w:trPr>
          <w:jc w:val="center"/>
        </w:trPr>
        <w:tc>
          <w:tcPr>
            <w:tcW w:w="1005" w:type="dxa"/>
          </w:tcPr>
          <w:p w14:paraId="259289A8"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w:t>
            </w:r>
          </w:p>
        </w:tc>
        <w:tc>
          <w:tcPr>
            <w:tcW w:w="1332" w:type="dxa"/>
          </w:tcPr>
          <w:p w14:paraId="01B7C116"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-3%</w:t>
            </w:r>
          </w:p>
        </w:tc>
        <w:tc>
          <w:tcPr>
            <w:tcW w:w="1319" w:type="dxa"/>
          </w:tcPr>
          <w:p w14:paraId="01770E50"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18%</w:t>
            </w:r>
          </w:p>
        </w:tc>
        <w:tc>
          <w:tcPr>
            <w:tcW w:w="1298" w:type="dxa"/>
          </w:tcPr>
          <w:p w14:paraId="4F6CB1B6"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7%</w:t>
            </w:r>
          </w:p>
        </w:tc>
      </w:tr>
      <w:tr w:rsidR="00E66256" w14:paraId="3AA8D90B" w14:textId="77777777" w:rsidTr="00D56C85">
        <w:trPr>
          <w:jc w:val="center"/>
        </w:trPr>
        <w:tc>
          <w:tcPr>
            <w:tcW w:w="1005" w:type="dxa"/>
          </w:tcPr>
          <w:p w14:paraId="16C19273"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2</w:t>
            </w:r>
          </w:p>
        </w:tc>
        <w:tc>
          <w:tcPr>
            <w:tcW w:w="1332" w:type="dxa"/>
          </w:tcPr>
          <w:p w14:paraId="1B1C138E"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2,1%</w:t>
            </w:r>
          </w:p>
        </w:tc>
        <w:tc>
          <w:tcPr>
            <w:tcW w:w="1319" w:type="dxa"/>
          </w:tcPr>
          <w:p w14:paraId="1F26F6E5"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11%</w:t>
            </w:r>
          </w:p>
        </w:tc>
        <w:tc>
          <w:tcPr>
            <w:tcW w:w="1298" w:type="dxa"/>
          </w:tcPr>
          <w:p w14:paraId="34DA6D88"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10%</w:t>
            </w:r>
          </w:p>
        </w:tc>
      </w:tr>
      <w:tr w:rsidR="00E66256" w14:paraId="712FDB3B" w14:textId="77777777" w:rsidTr="00D56C85">
        <w:trPr>
          <w:jc w:val="center"/>
        </w:trPr>
        <w:tc>
          <w:tcPr>
            <w:tcW w:w="1005" w:type="dxa"/>
          </w:tcPr>
          <w:p w14:paraId="7A9B3E47"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3</w:t>
            </w:r>
          </w:p>
        </w:tc>
        <w:tc>
          <w:tcPr>
            <w:tcW w:w="1332" w:type="dxa"/>
          </w:tcPr>
          <w:p w14:paraId="30B12E58"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2,8%</w:t>
            </w:r>
          </w:p>
        </w:tc>
        <w:tc>
          <w:tcPr>
            <w:tcW w:w="1319" w:type="dxa"/>
          </w:tcPr>
          <w:p w14:paraId="184BA5E3"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-6%</w:t>
            </w:r>
          </w:p>
        </w:tc>
        <w:tc>
          <w:tcPr>
            <w:tcW w:w="1298" w:type="dxa"/>
          </w:tcPr>
          <w:p w14:paraId="2927A69F"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-14%</w:t>
            </w:r>
          </w:p>
        </w:tc>
      </w:tr>
      <w:tr w:rsidR="00E66256" w14:paraId="5A40B366" w14:textId="77777777" w:rsidTr="00D56C85">
        <w:trPr>
          <w:jc w:val="center"/>
        </w:trPr>
        <w:tc>
          <w:tcPr>
            <w:tcW w:w="1005" w:type="dxa"/>
          </w:tcPr>
          <w:p w14:paraId="53FA4C7C"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w:t>
            </w:r>
          </w:p>
        </w:tc>
        <w:tc>
          <w:tcPr>
            <w:tcW w:w="1332" w:type="dxa"/>
          </w:tcPr>
          <w:p w14:paraId="44551A2C"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6%</w:t>
            </w:r>
          </w:p>
        </w:tc>
        <w:tc>
          <w:tcPr>
            <w:tcW w:w="1319" w:type="dxa"/>
          </w:tcPr>
          <w:p w14:paraId="0FD9DDC2"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-3%</w:t>
            </w:r>
          </w:p>
        </w:tc>
        <w:tc>
          <w:tcPr>
            <w:tcW w:w="1298" w:type="dxa"/>
          </w:tcPr>
          <w:p w14:paraId="341D11CD"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5%</w:t>
            </w:r>
          </w:p>
        </w:tc>
      </w:tr>
      <w:tr w:rsidR="00E66256" w14:paraId="353517BA" w14:textId="77777777" w:rsidTr="00D56C85">
        <w:trPr>
          <w:jc w:val="center"/>
        </w:trPr>
        <w:tc>
          <w:tcPr>
            <w:tcW w:w="1005" w:type="dxa"/>
          </w:tcPr>
          <w:p w14:paraId="7F2F264B"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5</w:t>
            </w:r>
          </w:p>
        </w:tc>
        <w:tc>
          <w:tcPr>
            <w:tcW w:w="1332" w:type="dxa"/>
          </w:tcPr>
          <w:p w14:paraId="4EDD0E12"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w:t>
            </w:r>
          </w:p>
        </w:tc>
        <w:tc>
          <w:tcPr>
            <w:tcW w:w="1319" w:type="dxa"/>
          </w:tcPr>
          <w:p w14:paraId="1171A813"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0,5%</w:t>
            </w:r>
          </w:p>
        </w:tc>
        <w:tc>
          <w:tcPr>
            <w:tcW w:w="1298" w:type="dxa"/>
          </w:tcPr>
          <w:p w14:paraId="5049AB15"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9%</w:t>
            </w:r>
          </w:p>
        </w:tc>
      </w:tr>
      <w:tr w:rsidR="00E66256" w14:paraId="5B85C498" w14:textId="77777777" w:rsidTr="00D56C85">
        <w:trPr>
          <w:jc w:val="center"/>
        </w:trPr>
        <w:tc>
          <w:tcPr>
            <w:tcW w:w="1005" w:type="dxa"/>
          </w:tcPr>
          <w:p w14:paraId="50DBFEE7"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6</w:t>
            </w:r>
          </w:p>
        </w:tc>
        <w:tc>
          <w:tcPr>
            <w:tcW w:w="1332" w:type="dxa"/>
          </w:tcPr>
          <w:p w14:paraId="22CED6EF"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5,5%</w:t>
            </w:r>
          </w:p>
        </w:tc>
        <w:tc>
          <w:tcPr>
            <w:tcW w:w="1319" w:type="dxa"/>
          </w:tcPr>
          <w:p w14:paraId="741861B1"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-2%</w:t>
            </w:r>
          </w:p>
        </w:tc>
        <w:tc>
          <w:tcPr>
            <w:tcW w:w="1298" w:type="dxa"/>
          </w:tcPr>
          <w:p w14:paraId="6668BF74"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w:t>
            </w:r>
          </w:p>
        </w:tc>
      </w:tr>
    </w:tbl>
    <w:p w14:paraId="35D3D3EF" w14:textId="77777777" w:rsidR="00E66256" w:rsidRPr="00E66256" w:rsidRDefault="00E66256" w:rsidP="00E66256">
      <w:pPr>
        <w:pStyle w:val="ListParagraph"/>
        <w:ind w:left="360"/>
        <w:jc w:val="center"/>
        <w:rPr>
          <w:rFonts w:eastAsia="MS Mincho"/>
          <w:b/>
          <w:bCs/>
          <w:color w:val="000000"/>
          <w:sz w:val="24"/>
          <w:szCs w:val="24"/>
          <w:lang w:eastAsia="ja-JP"/>
        </w:rPr>
      </w:pPr>
    </w:p>
    <w:p w14:paraId="1A765410" w14:textId="77777777" w:rsidR="00E66256" w:rsidRPr="00E66256" w:rsidRDefault="00E66256" w:rsidP="00E66256">
      <w:pPr>
        <w:pStyle w:val="ListParagraph"/>
        <w:ind w:left="360"/>
        <w:jc w:val="both"/>
        <w:rPr>
          <w:rFonts w:eastAsia="MS Mincho"/>
          <w:bCs/>
          <w:color w:val="000000"/>
          <w:sz w:val="24"/>
          <w:szCs w:val="24"/>
          <w:lang w:eastAsia="ja-JP"/>
        </w:rPr>
      </w:pPr>
      <w:r w:rsidRPr="00E66256">
        <w:rPr>
          <w:rFonts w:eastAsia="MS Mincho"/>
          <w:b/>
          <w:color w:val="000000"/>
          <w:sz w:val="24"/>
          <w:szCs w:val="24"/>
          <w:lang w:eastAsia="ja-JP"/>
        </w:rPr>
        <w:t>Β.</w:t>
      </w:r>
      <w:r w:rsidRPr="00E66256">
        <w:rPr>
          <w:rFonts w:eastAsia="MS Mincho"/>
          <w:bCs/>
          <w:color w:val="000000"/>
          <w:sz w:val="24"/>
          <w:szCs w:val="24"/>
          <w:lang w:eastAsia="ja-JP"/>
        </w:rPr>
        <w:t xml:space="preserve"> Ένας επενδυτής διαθέτει €100.000 και επιθυμεί να επενδύσει €35.000 και €65.000 στα αξιόγραφα Α και Β αντίστοιχα. Ο επενδυτής διαμορφώνει τρία πιθανά σενάρια σχετικά με την εξέλιξη της γενικότερης οικονομικής κατάστασης και για κάθε σενάριο έχει εκτιμήσει την πιθανότητα εμφάνισής του καθώς επίσης και την αντίστοιχη αναμενόμενη απόδοση των αξιογράφων Α και Β: </w:t>
      </w:r>
    </w:p>
    <w:p w14:paraId="4883B44B" w14:textId="77777777" w:rsidR="00E66256" w:rsidRPr="00E66256" w:rsidRDefault="00E66256" w:rsidP="00E66256">
      <w:pPr>
        <w:pStyle w:val="ListParagraph"/>
        <w:ind w:left="360"/>
        <w:jc w:val="both"/>
        <w:rPr>
          <w:rFonts w:eastAsia="MS Mincho"/>
          <w:bCs/>
          <w:color w:val="000000"/>
          <w:sz w:val="24"/>
          <w:szCs w:val="24"/>
          <w:lang w:eastAsia="ja-JP"/>
        </w:rPr>
      </w:pPr>
    </w:p>
    <w:tbl>
      <w:tblPr>
        <w:tblStyle w:val="TableGrid"/>
        <w:tblW w:w="0" w:type="auto"/>
        <w:jc w:val="center"/>
        <w:tblLook w:val="04A0" w:firstRow="1" w:lastRow="0" w:firstColumn="1" w:lastColumn="0" w:noHBand="0" w:noVBand="1"/>
      </w:tblPr>
      <w:tblGrid>
        <w:gridCol w:w="1894"/>
        <w:gridCol w:w="2610"/>
        <w:gridCol w:w="1645"/>
        <w:gridCol w:w="1632"/>
      </w:tblGrid>
      <w:tr w:rsidR="00E66256" w14:paraId="2BA806A9" w14:textId="77777777" w:rsidTr="00D56C85">
        <w:trPr>
          <w:jc w:val="center"/>
        </w:trPr>
        <w:tc>
          <w:tcPr>
            <w:tcW w:w="1894" w:type="dxa"/>
          </w:tcPr>
          <w:p w14:paraId="7FA869D9"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lastRenderedPageBreak/>
              <w:t>Πιθανά Σενάρια</w:t>
            </w:r>
          </w:p>
        </w:tc>
        <w:tc>
          <w:tcPr>
            <w:tcW w:w="2610" w:type="dxa"/>
          </w:tcPr>
          <w:p w14:paraId="7AF1AA68"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Πιθανότητα Εμφάνισης</w:t>
            </w:r>
          </w:p>
        </w:tc>
        <w:tc>
          <w:tcPr>
            <w:tcW w:w="1645" w:type="dxa"/>
          </w:tcPr>
          <w:p w14:paraId="24234C4C"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Αξιόγραφο Α</w:t>
            </w:r>
          </w:p>
        </w:tc>
        <w:tc>
          <w:tcPr>
            <w:tcW w:w="1632" w:type="dxa"/>
          </w:tcPr>
          <w:p w14:paraId="7932C477"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Αξιόγραφο Β</w:t>
            </w:r>
          </w:p>
        </w:tc>
      </w:tr>
      <w:tr w:rsidR="00E66256" w14:paraId="5DC917D6" w14:textId="77777777" w:rsidTr="00D56C85">
        <w:trPr>
          <w:jc w:val="center"/>
        </w:trPr>
        <w:tc>
          <w:tcPr>
            <w:tcW w:w="1894" w:type="dxa"/>
          </w:tcPr>
          <w:p w14:paraId="68145DEE"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Ανάπτυξη</w:t>
            </w:r>
          </w:p>
        </w:tc>
        <w:tc>
          <w:tcPr>
            <w:tcW w:w="2610" w:type="dxa"/>
          </w:tcPr>
          <w:p w14:paraId="706459CF"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30%</w:t>
            </w:r>
          </w:p>
        </w:tc>
        <w:tc>
          <w:tcPr>
            <w:tcW w:w="1645" w:type="dxa"/>
          </w:tcPr>
          <w:p w14:paraId="54D65F0C"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11%</w:t>
            </w:r>
          </w:p>
        </w:tc>
        <w:tc>
          <w:tcPr>
            <w:tcW w:w="1632" w:type="dxa"/>
          </w:tcPr>
          <w:p w14:paraId="3F092B26"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7%</w:t>
            </w:r>
          </w:p>
        </w:tc>
      </w:tr>
      <w:tr w:rsidR="00E66256" w14:paraId="50CC023E" w14:textId="77777777" w:rsidTr="00D56C85">
        <w:trPr>
          <w:jc w:val="center"/>
        </w:trPr>
        <w:tc>
          <w:tcPr>
            <w:tcW w:w="1894" w:type="dxa"/>
          </w:tcPr>
          <w:p w14:paraId="06A44E14"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Σταθεροποίηση</w:t>
            </w:r>
          </w:p>
        </w:tc>
        <w:tc>
          <w:tcPr>
            <w:tcW w:w="2610" w:type="dxa"/>
          </w:tcPr>
          <w:p w14:paraId="685406DE"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40%</w:t>
            </w:r>
          </w:p>
        </w:tc>
        <w:tc>
          <w:tcPr>
            <w:tcW w:w="1645" w:type="dxa"/>
          </w:tcPr>
          <w:p w14:paraId="7A9855ED"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5,5%</w:t>
            </w:r>
          </w:p>
        </w:tc>
        <w:tc>
          <w:tcPr>
            <w:tcW w:w="1632" w:type="dxa"/>
          </w:tcPr>
          <w:p w14:paraId="412558CA"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w:t>
            </w:r>
          </w:p>
        </w:tc>
      </w:tr>
      <w:tr w:rsidR="00E66256" w14:paraId="1D4022F9" w14:textId="77777777" w:rsidTr="00D56C85">
        <w:trPr>
          <w:jc w:val="center"/>
        </w:trPr>
        <w:tc>
          <w:tcPr>
            <w:tcW w:w="1894" w:type="dxa"/>
          </w:tcPr>
          <w:p w14:paraId="3D7EDB97"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Ύφεση</w:t>
            </w:r>
          </w:p>
        </w:tc>
        <w:tc>
          <w:tcPr>
            <w:tcW w:w="2610" w:type="dxa"/>
          </w:tcPr>
          <w:p w14:paraId="46BB0C3E"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30%</w:t>
            </w:r>
          </w:p>
        </w:tc>
        <w:tc>
          <w:tcPr>
            <w:tcW w:w="1645" w:type="dxa"/>
          </w:tcPr>
          <w:p w14:paraId="10D17EF1"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-4%</w:t>
            </w:r>
          </w:p>
        </w:tc>
        <w:tc>
          <w:tcPr>
            <w:tcW w:w="1632" w:type="dxa"/>
          </w:tcPr>
          <w:p w14:paraId="4FFFA3EA" w14:textId="77777777" w:rsidR="00E66256" w:rsidRDefault="00E66256" w:rsidP="00D56C85">
            <w:pPr>
              <w:jc w:val="center"/>
              <w:rPr>
                <w:rFonts w:eastAsia="MS Mincho"/>
                <w:bCs/>
                <w:color w:val="000000"/>
                <w:sz w:val="24"/>
                <w:szCs w:val="24"/>
                <w:lang w:eastAsia="ja-JP"/>
              </w:rPr>
            </w:pPr>
            <w:r>
              <w:rPr>
                <w:rFonts w:eastAsia="MS Mincho"/>
                <w:bCs/>
                <w:color w:val="000000"/>
                <w:sz w:val="24"/>
                <w:szCs w:val="24"/>
                <w:lang w:eastAsia="ja-JP"/>
              </w:rPr>
              <w:t>1,5%</w:t>
            </w:r>
          </w:p>
        </w:tc>
      </w:tr>
    </w:tbl>
    <w:p w14:paraId="408A7190" w14:textId="77777777" w:rsidR="00E66256" w:rsidRPr="00E66256" w:rsidRDefault="00E66256" w:rsidP="00E66256">
      <w:pPr>
        <w:pStyle w:val="ListParagraph"/>
        <w:ind w:left="360"/>
        <w:jc w:val="both"/>
        <w:rPr>
          <w:rFonts w:eastAsia="MS Mincho"/>
          <w:bCs/>
          <w:color w:val="000000"/>
          <w:sz w:val="24"/>
          <w:szCs w:val="24"/>
          <w:lang w:eastAsia="ja-JP"/>
        </w:rPr>
      </w:pPr>
    </w:p>
    <w:p w14:paraId="1A33899E" w14:textId="77777777" w:rsidR="00E66256" w:rsidRPr="00E66256" w:rsidRDefault="00E66256" w:rsidP="00E66256">
      <w:pPr>
        <w:pStyle w:val="ListParagraph"/>
        <w:ind w:left="360"/>
        <w:jc w:val="both"/>
        <w:rPr>
          <w:rFonts w:eastAsia="MS Mincho"/>
          <w:bCs/>
          <w:color w:val="000000"/>
          <w:sz w:val="24"/>
          <w:szCs w:val="24"/>
          <w:lang w:eastAsia="ja-JP"/>
        </w:rPr>
      </w:pPr>
      <w:r w:rsidRPr="00E66256">
        <w:rPr>
          <w:rFonts w:eastAsia="MS Mincho"/>
          <w:bCs/>
          <w:color w:val="000000"/>
          <w:sz w:val="24"/>
          <w:szCs w:val="24"/>
          <w:lang w:eastAsia="ja-JP"/>
        </w:rPr>
        <w:t>Ζητείται να υπολογιστεί:</w:t>
      </w:r>
    </w:p>
    <w:p w14:paraId="46331FE1" w14:textId="77777777" w:rsidR="00E66256" w:rsidRPr="00E66256" w:rsidRDefault="00E66256" w:rsidP="00E66256">
      <w:pPr>
        <w:pStyle w:val="ListParagraph"/>
        <w:ind w:left="360"/>
        <w:jc w:val="both"/>
        <w:rPr>
          <w:rFonts w:eastAsia="MS Mincho"/>
          <w:b/>
          <w:bCs/>
          <w:color w:val="000000"/>
          <w:sz w:val="24"/>
          <w:szCs w:val="24"/>
          <w:lang w:eastAsia="ja-JP"/>
        </w:rPr>
      </w:pPr>
      <w:r w:rsidRPr="00E66256">
        <w:rPr>
          <w:rFonts w:eastAsia="MS Mincho"/>
          <w:bCs/>
          <w:color w:val="000000"/>
          <w:sz w:val="24"/>
          <w:szCs w:val="24"/>
          <w:lang w:eastAsia="ja-JP"/>
        </w:rPr>
        <w:t xml:space="preserve">i) Η αναμενόμενη απόδοση του χαρτοφυλακίου.                                                              </w:t>
      </w:r>
    </w:p>
    <w:p w14:paraId="325ADE65" w14:textId="77777777" w:rsidR="00E66256" w:rsidRPr="00E66256" w:rsidRDefault="00E66256" w:rsidP="00E66256">
      <w:pPr>
        <w:pStyle w:val="ListParagraph"/>
        <w:ind w:left="360"/>
        <w:jc w:val="both"/>
        <w:rPr>
          <w:rFonts w:eastAsia="MS Mincho"/>
          <w:b/>
          <w:bCs/>
          <w:color w:val="000000"/>
          <w:sz w:val="24"/>
          <w:szCs w:val="24"/>
          <w:lang w:eastAsia="ja-JP"/>
        </w:rPr>
      </w:pPr>
      <w:r w:rsidRPr="00E66256">
        <w:rPr>
          <w:rFonts w:eastAsia="MS Mincho"/>
          <w:bCs/>
          <w:color w:val="000000"/>
          <w:sz w:val="24"/>
          <w:szCs w:val="24"/>
          <w:lang w:eastAsia="ja-JP"/>
        </w:rPr>
        <w:t xml:space="preserve">ii) Ο κίνδυνος του χαρτοφυλακίου (τυπική απόκλιση).                                                  </w:t>
      </w:r>
    </w:p>
    <w:p w14:paraId="6312927E" w14:textId="77777777" w:rsidR="00E66256" w:rsidRPr="00E66256" w:rsidRDefault="00E66256" w:rsidP="00E66256">
      <w:pPr>
        <w:pStyle w:val="ListParagraph"/>
        <w:ind w:left="360"/>
        <w:jc w:val="both"/>
        <w:rPr>
          <w:rFonts w:eastAsia="MS Mincho"/>
          <w:bCs/>
          <w:color w:val="000000"/>
          <w:sz w:val="24"/>
          <w:szCs w:val="24"/>
          <w:lang w:eastAsia="ja-JP"/>
        </w:rPr>
      </w:pPr>
      <w:r w:rsidRPr="00E66256">
        <w:rPr>
          <w:rFonts w:eastAsia="MS Mincho"/>
          <w:bCs/>
          <w:color w:val="000000"/>
          <w:sz w:val="24"/>
          <w:szCs w:val="24"/>
          <w:lang w:eastAsia="ja-JP"/>
        </w:rPr>
        <w:t>Υπόδειξη: Η συνδιακύμανση δίνεται από τον τύπο:</w:t>
      </w:r>
    </w:p>
    <w:p w14:paraId="5A8AE8C1" w14:textId="77777777" w:rsidR="00E66256" w:rsidRPr="00E66256" w:rsidRDefault="00E66256" w:rsidP="00E66256">
      <w:pPr>
        <w:pStyle w:val="ListParagraph"/>
        <w:ind w:left="360"/>
        <w:jc w:val="both"/>
        <w:rPr>
          <w:rFonts w:eastAsia="MS Mincho"/>
          <w:b/>
          <w:bCs/>
          <w:color w:val="000000"/>
          <w:sz w:val="24"/>
          <w:szCs w:val="24"/>
          <w:lang w:eastAsia="ja-JP"/>
        </w:rPr>
      </w:pPr>
      <m:oMathPara>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ΑΒ</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A,B=1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A</m:t>
                  </m:r>
                </m:sub>
              </m:sSub>
              <m:r>
                <w:rPr>
                  <w:rFonts w:ascii="Cambria Math" w:hAnsi="Cambria Math"/>
                  <w:sz w:val="24"/>
                  <w:szCs w:val="24"/>
                </w:rPr>
                <m:t>(</m:t>
              </m:r>
            </m:e>
          </m:nary>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E(R</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E(R</m:t>
              </m:r>
            </m:e>
            <m:sub>
              <m:r>
                <w:rPr>
                  <w:rFonts w:ascii="Cambria Math" w:hAnsi="Cambria Math"/>
                  <w:sz w:val="24"/>
                  <w:szCs w:val="24"/>
                </w:rPr>
                <m:t>B</m:t>
              </m:r>
            </m:sub>
          </m:sSub>
          <m:r>
            <w:rPr>
              <w:rFonts w:ascii="Cambria Math" w:hAnsi="Cambria Math"/>
              <w:sz w:val="24"/>
              <w:szCs w:val="24"/>
            </w:rPr>
            <m:t>))</m:t>
          </m:r>
        </m:oMath>
      </m:oMathPara>
    </w:p>
    <w:p w14:paraId="42706A29" w14:textId="66BA6242" w:rsidR="00E66256" w:rsidRPr="00E66256" w:rsidRDefault="00E66256" w:rsidP="00E66256">
      <w:pPr>
        <w:pStyle w:val="ListParagraph"/>
        <w:ind w:left="360"/>
        <w:rPr>
          <w:lang w:val="en-US"/>
        </w:rPr>
      </w:pPr>
    </w:p>
    <w:p w14:paraId="5AD3CBAA" w14:textId="5F636E38" w:rsidR="00E5099B" w:rsidRDefault="00E5099B" w:rsidP="00E5099B">
      <w:pPr>
        <w:pStyle w:val="ListParagraph"/>
        <w:ind w:left="360"/>
        <w:rPr>
          <w:lang w:val="en-US"/>
        </w:rPr>
      </w:pPr>
    </w:p>
    <w:p w14:paraId="7B7B04D0" w14:textId="77777777" w:rsidR="00427E45" w:rsidRPr="00427E45" w:rsidRDefault="00E66256" w:rsidP="00427E45">
      <w:pPr>
        <w:pStyle w:val="ListParagraph"/>
        <w:numPr>
          <w:ilvl w:val="0"/>
          <w:numId w:val="2"/>
        </w:numPr>
      </w:pPr>
      <w:r>
        <w:t>Εστω οι μετοχές Χ και Υ έχουν συντελεστή συσχέτισης 1, και ικανοποιούν τη σχέση Υ=6+0.2Χ, ενώ για το Χ έχουμε την εξής κατανομή: Pr(X=0.3)=0.1, Pr(X=0.2)=0.2,  Pr(X=0.15)=0.4,  Pr(X=0.10)=0.2,  Pr(X=-0.5)=0.1.</w:t>
      </w:r>
    </w:p>
    <w:p w14:paraId="02749621" w14:textId="3974961A" w:rsidR="00427E45" w:rsidRPr="00427E45" w:rsidRDefault="00E66256" w:rsidP="00427E45">
      <w:pPr>
        <w:pStyle w:val="ListParagraph"/>
        <w:ind w:left="360"/>
      </w:pPr>
      <w:r>
        <w:t>α) τι ποσοστό πρέπει να επενδύσουμε στη μετοχή Χ ώστε να πετύχουμε χαρτοφυλάκιο με μηδενική διασπορά?</w:t>
      </w:r>
      <w:r w:rsidR="00427E45" w:rsidRPr="00427E45">
        <w:t xml:space="preserve"> </w:t>
      </w:r>
    </w:p>
    <w:p w14:paraId="005EC4CF" w14:textId="499F61B7" w:rsidR="00427E45" w:rsidRPr="00427E45" w:rsidRDefault="00427E45" w:rsidP="00427E45">
      <w:pPr>
        <w:pStyle w:val="ListParagraph"/>
        <w:ind w:left="360"/>
      </w:pPr>
      <w:r w:rsidRPr="00427E45">
        <w:t xml:space="preserve">β) Σχεδιάστε το αποτελεσματικό σύνορο και το σημείο με μηδενική διασπορά. </w:t>
      </w:r>
    </w:p>
    <w:p w14:paraId="770E7300" w14:textId="77777777" w:rsidR="00427E45" w:rsidRPr="00E66256" w:rsidRDefault="00427E45" w:rsidP="00427E45">
      <w:pPr>
        <w:pStyle w:val="ListParagraph"/>
        <w:ind w:left="360"/>
      </w:pPr>
    </w:p>
    <w:sectPr w:rsidR="00427E45" w:rsidRPr="00E662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D1D"/>
    <w:multiLevelType w:val="hybridMultilevel"/>
    <w:tmpl w:val="B93E1D3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CCF53F4"/>
    <w:multiLevelType w:val="hybridMultilevel"/>
    <w:tmpl w:val="70388F9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65AF39F9"/>
    <w:multiLevelType w:val="hybridMultilevel"/>
    <w:tmpl w:val="2DD46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0976360">
    <w:abstractNumId w:val="2"/>
  </w:num>
  <w:num w:numId="2" w16cid:durableId="1945724226">
    <w:abstractNumId w:val="0"/>
  </w:num>
  <w:num w:numId="3" w16cid:durableId="7755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57"/>
    <w:rsid w:val="00385DF9"/>
    <w:rsid w:val="004270C1"/>
    <w:rsid w:val="00427E45"/>
    <w:rsid w:val="00461B3C"/>
    <w:rsid w:val="004F1357"/>
    <w:rsid w:val="006C701B"/>
    <w:rsid w:val="007D575F"/>
    <w:rsid w:val="00885D19"/>
    <w:rsid w:val="00A86C1A"/>
    <w:rsid w:val="00BF738D"/>
    <w:rsid w:val="00CC662F"/>
    <w:rsid w:val="00D040E1"/>
    <w:rsid w:val="00E5099B"/>
    <w:rsid w:val="00E56733"/>
    <w:rsid w:val="00E63F15"/>
    <w:rsid w:val="00E662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1ED0"/>
  <w15:chartTrackingRefBased/>
  <w15:docId w15:val="{D986F805-67B9-43E2-BC6A-DB03143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357"/>
    <w:rPr>
      <w:rFonts w:eastAsiaTheme="majorEastAsia" w:cstheme="majorBidi"/>
      <w:color w:val="272727" w:themeColor="text1" w:themeTint="D8"/>
    </w:rPr>
  </w:style>
  <w:style w:type="paragraph" w:styleId="Title">
    <w:name w:val="Title"/>
    <w:basedOn w:val="Normal"/>
    <w:next w:val="Normal"/>
    <w:link w:val="TitleChar"/>
    <w:uiPriority w:val="10"/>
    <w:qFormat/>
    <w:rsid w:val="004F1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357"/>
    <w:pPr>
      <w:spacing w:before="160"/>
      <w:jc w:val="center"/>
    </w:pPr>
    <w:rPr>
      <w:i/>
      <w:iCs/>
      <w:color w:val="404040" w:themeColor="text1" w:themeTint="BF"/>
    </w:rPr>
  </w:style>
  <w:style w:type="character" w:customStyle="1" w:styleId="QuoteChar">
    <w:name w:val="Quote Char"/>
    <w:basedOn w:val="DefaultParagraphFont"/>
    <w:link w:val="Quote"/>
    <w:uiPriority w:val="29"/>
    <w:rsid w:val="004F1357"/>
    <w:rPr>
      <w:i/>
      <w:iCs/>
      <w:color w:val="404040" w:themeColor="text1" w:themeTint="BF"/>
    </w:rPr>
  </w:style>
  <w:style w:type="paragraph" w:styleId="ListParagraph">
    <w:name w:val="List Paragraph"/>
    <w:basedOn w:val="Normal"/>
    <w:uiPriority w:val="34"/>
    <w:qFormat/>
    <w:rsid w:val="004F1357"/>
    <w:pPr>
      <w:ind w:left="720"/>
      <w:contextualSpacing/>
    </w:pPr>
  </w:style>
  <w:style w:type="character" w:styleId="IntenseEmphasis">
    <w:name w:val="Intense Emphasis"/>
    <w:basedOn w:val="DefaultParagraphFont"/>
    <w:uiPriority w:val="21"/>
    <w:qFormat/>
    <w:rsid w:val="004F1357"/>
    <w:rPr>
      <w:i/>
      <w:iCs/>
      <w:color w:val="0F4761" w:themeColor="accent1" w:themeShade="BF"/>
    </w:rPr>
  </w:style>
  <w:style w:type="paragraph" w:styleId="IntenseQuote">
    <w:name w:val="Intense Quote"/>
    <w:basedOn w:val="Normal"/>
    <w:next w:val="Normal"/>
    <w:link w:val="IntenseQuoteChar"/>
    <w:uiPriority w:val="30"/>
    <w:qFormat/>
    <w:rsid w:val="004F1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357"/>
    <w:rPr>
      <w:i/>
      <w:iCs/>
      <w:color w:val="0F4761" w:themeColor="accent1" w:themeShade="BF"/>
    </w:rPr>
  </w:style>
  <w:style w:type="character" w:styleId="IntenseReference">
    <w:name w:val="Intense Reference"/>
    <w:basedOn w:val="DefaultParagraphFont"/>
    <w:uiPriority w:val="32"/>
    <w:qFormat/>
    <w:rsid w:val="004F1357"/>
    <w:rPr>
      <w:b/>
      <w:bCs/>
      <w:smallCaps/>
      <w:color w:val="0F4761" w:themeColor="accent1" w:themeShade="BF"/>
      <w:spacing w:val="5"/>
    </w:rPr>
  </w:style>
  <w:style w:type="character" w:styleId="PlaceholderText">
    <w:name w:val="Placeholder Text"/>
    <w:basedOn w:val="DefaultParagraphFont"/>
    <w:uiPriority w:val="99"/>
    <w:semiHidden/>
    <w:rsid w:val="00D040E1"/>
    <w:rPr>
      <w:color w:val="666666"/>
    </w:rPr>
  </w:style>
  <w:style w:type="paragraph" w:styleId="NormalWeb">
    <w:name w:val="Normal (Web)"/>
    <w:basedOn w:val="Normal"/>
    <w:uiPriority w:val="99"/>
    <w:semiHidden/>
    <w:unhideWhenUsed/>
    <w:rsid w:val="00A86C1A"/>
    <w:rPr>
      <w:rFonts w:ascii="Times New Roman" w:hAnsi="Times New Roman" w:cs="Times New Roman"/>
      <w:sz w:val="24"/>
      <w:szCs w:val="24"/>
    </w:rPr>
  </w:style>
  <w:style w:type="table" w:styleId="TableGrid">
    <w:name w:val="Table Grid"/>
    <w:basedOn w:val="TableNormal"/>
    <w:uiPriority w:val="39"/>
    <w:rsid w:val="00E66256"/>
    <w:pPr>
      <w:spacing w:after="0" w:line="240" w:lineRule="auto"/>
    </w:pPr>
    <w:rPr>
      <w:rFonts w:ascii="Calibri" w:eastAsia="PMingLiU" w:hAnsi="Calibri"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427E45"/>
    <w:pPr>
      <w:spacing w:after="0" w:line="480" w:lineRule="auto"/>
      <w:jc w:val="both"/>
    </w:pPr>
    <w:rPr>
      <w:rFonts w:ascii="Times New Roman" w:eastAsia="Times New Roman" w:hAnsi="Times New Roman" w:cs="Times New Roman"/>
      <w:noProof/>
      <w:kern w:val="0"/>
      <w:sz w:val="24"/>
      <w:szCs w:val="24"/>
      <w:lang w:val="en-US"/>
      <w14:ligatures w14:val="none"/>
    </w:rPr>
  </w:style>
  <w:style w:type="character" w:customStyle="1" w:styleId="BodyText2Char">
    <w:name w:val="Body Text 2 Char"/>
    <w:basedOn w:val="DefaultParagraphFont"/>
    <w:link w:val="BodyText2"/>
    <w:semiHidden/>
    <w:rsid w:val="00427E45"/>
    <w:rPr>
      <w:rFonts w:ascii="Times New Roman" w:eastAsia="Times New Roman" w:hAnsi="Times New Roman" w:cs="Times New Roman"/>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2</Pages>
  <Words>394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Papavassileiou</dc:creator>
  <cp:keywords/>
  <dc:description/>
  <cp:lastModifiedBy>Ellie Papavassileiou</cp:lastModifiedBy>
  <cp:revision>9</cp:revision>
  <dcterms:created xsi:type="dcterms:W3CDTF">2026-03-24T09:47:00Z</dcterms:created>
  <dcterms:modified xsi:type="dcterms:W3CDTF">2026-03-27T11:27:00Z</dcterms:modified>
</cp:coreProperties>
</file>