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D08" w:rsidRPr="00973D08" w:rsidRDefault="00973D08" w:rsidP="00973D08">
      <w:pPr>
        <w:shd w:val="clear" w:color="auto" w:fill="FFFFFF"/>
        <w:spacing w:after="0" w:line="540" w:lineRule="atLeast"/>
        <w:textAlignment w:val="baseline"/>
        <w:outlineLvl w:val="1"/>
        <w:rPr>
          <w:rFonts w:asciiTheme="majorHAnsi" w:eastAsia="Times New Roman" w:hAnsiTheme="majorHAnsi" w:cs="Arial"/>
          <w:color w:val="394C66"/>
          <w:spacing w:val="-7"/>
          <w:sz w:val="28"/>
          <w:szCs w:val="28"/>
          <w:lang w:eastAsia="el-GR"/>
        </w:rPr>
      </w:pPr>
      <w:r w:rsidRPr="00973D08">
        <w:rPr>
          <w:rFonts w:asciiTheme="majorHAnsi" w:eastAsia="Times New Roman" w:hAnsiTheme="majorHAnsi" w:cs="Arial"/>
          <w:b/>
          <w:bCs/>
          <w:color w:val="394C66"/>
          <w:spacing w:val="-7"/>
          <w:sz w:val="28"/>
          <w:szCs w:val="28"/>
          <w:bdr w:val="none" w:sz="0" w:space="0" w:color="auto" w:frame="1"/>
          <w:lang w:eastAsia="el-GR"/>
        </w:rPr>
        <w:t>1. Αναθεώρηση και Κύρωση των Συνθηκών της Ε.Ε. </w:t>
      </w:r>
    </w:p>
    <w:p w:rsidR="00973D08" w:rsidRPr="00973D08" w:rsidRDefault="00973D08" w:rsidP="00973D08">
      <w:pPr>
        <w:shd w:val="clear" w:color="auto" w:fill="FFFFFF"/>
        <w:spacing w:after="240" w:line="216" w:lineRule="atLeast"/>
        <w:jc w:val="both"/>
        <w:textAlignment w:val="baseline"/>
        <w:rPr>
          <w:rFonts w:asciiTheme="majorHAnsi" w:eastAsia="Times New Roman" w:hAnsiTheme="majorHAnsi" w:cs="Arial"/>
          <w:color w:val="09314D"/>
          <w:sz w:val="28"/>
          <w:szCs w:val="28"/>
          <w:lang w:eastAsia="el-GR"/>
        </w:rPr>
      </w:pPr>
      <w:r w:rsidRPr="00973D08">
        <w:rPr>
          <w:rFonts w:asciiTheme="majorHAnsi" w:eastAsia="Times New Roman" w:hAnsiTheme="majorHAnsi" w:cs="Arial"/>
          <w:color w:val="09314D"/>
          <w:sz w:val="28"/>
          <w:szCs w:val="28"/>
          <w:lang w:eastAsia="el-GR"/>
        </w:rPr>
        <w:t>Ένας από τους σημαντικότερους ρόλους των εθνικών Κοινοβουλίων στο πλαίσιο της Ευρωπαϊκής Ένωσης (Ε.Ε.) είναι κατά την αναθεώρηση και κύρωση των Συνθηκών, που αποτελούν τον βασικό κορμό της ευρωπαϊκής νομοθεσίας.  </w:t>
      </w:r>
    </w:p>
    <w:p w:rsidR="00973D08" w:rsidRPr="00973D08" w:rsidRDefault="00973D08" w:rsidP="00973D08">
      <w:pPr>
        <w:shd w:val="clear" w:color="auto" w:fill="FFFFFF"/>
        <w:spacing w:after="0" w:line="216" w:lineRule="atLeast"/>
        <w:jc w:val="both"/>
        <w:textAlignment w:val="baseline"/>
        <w:rPr>
          <w:rFonts w:asciiTheme="majorHAnsi" w:eastAsia="Times New Roman" w:hAnsiTheme="majorHAnsi" w:cs="Arial"/>
          <w:color w:val="09314D"/>
          <w:sz w:val="28"/>
          <w:szCs w:val="28"/>
          <w:lang w:eastAsia="el-GR"/>
        </w:rPr>
      </w:pPr>
      <w:r w:rsidRPr="00973D08">
        <w:rPr>
          <w:rFonts w:asciiTheme="majorHAnsi" w:eastAsia="Times New Roman" w:hAnsiTheme="majorHAnsi" w:cs="Arial"/>
          <w:color w:val="09314D"/>
          <w:sz w:val="28"/>
          <w:szCs w:val="28"/>
          <w:lang w:eastAsia="el-GR"/>
        </w:rPr>
        <w:t>Κάθε καίρια θεσμική αλλαγή στην ιστορία της ευρωπαϊκής ολοκλήρωσης, όπως είναι για παράδειγμα, η μετάβαση από την Ευρωπαϊκή Οικονομική Κοινότητα στην Ευρωπαϊκή Ένωση, η δημιουργία της </w:t>
      </w:r>
      <w:hyperlink r:id="rId6" w:tgtFrame="_blank" w:tooltip="Οικονομική και Νομισματική Ένωση" w:history="1">
        <w:r w:rsidRPr="00973D08">
          <w:rPr>
            <w:rFonts w:asciiTheme="majorHAnsi" w:eastAsia="Times New Roman" w:hAnsiTheme="majorHAnsi" w:cs="Arial"/>
            <w:color w:val="C68125"/>
            <w:sz w:val="28"/>
            <w:szCs w:val="28"/>
            <w:bdr w:val="none" w:sz="0" w:space="0" w:color="auto" w:frame="1"/>
            <w:lang w:eastAsia="el-GR"/>
          </w:rPr>
          <w:t>Οικονομικής και Νομισματικής Ένωσης</w:t>
        </w:r>
      </w:hyperlink>
      <w:r w:rsidRPr="00973D08">
        <w:rPr>
          <w:rFonts w:asciiTheme="majorHAnsi" w:eastAsia="Times New Roman" w:hAnsiTheme="majorHAnsi" w:cs="Arial"/>
          <w:color w:val="09314D"/>
          <w:sz w:val="28"/>
          <w:szCs w:val="28"/>
          <w:lang w:eastAsia="el-GR"/>
        </w:rPr>
        <w:t> και η εισαγωγή του κοινού νομίσματος καθώς και κάθε  διεύρυνση της Ε.Ε., απαιτούν για την ολοκλήρωση και τη θέση τους σε ισχύ, την προηγούμενη έγκριση από την εθνική αντιπροσωπεία κάθε κράτους μέλους. Σε ορισμένα κράτη, μάλιστα, οι θεσμικές αυτές αλλαγές στην ευρωπαϊκή ολοκλήρωση επιφέρουν πολιτειακές μεταρρυθμίσεις που καθιστούν απαραίτητη τη διεξαγωγή δημοψηφίσματος.</w:t>
      </w:r>
    </w:p>
    <w:p w:rsidR="00973D08" w:rsidRDefault="00973D08" w:rsidP="00973D08">
      <w:pPr>
        <w:shd w:val="clear" w:color="auto" w:fill="FFFFFF"/>
        <w:spacing w:after="0" w:line="216" w:lineRule="atLeast"/>
        <w:jc w:val="both"/>
        <w:textAlignment w:val="baseline"/>
        <w:rPr>
          <w:rFonts w:asciiTheme="majorHAnsi" w:eastAsia="Times New Roman" w:hAnsiTheme="majorHAnsi" w:cs="Arial"/>
          <w:b/>
          <w:color w:val="09314D"/>
          <w:sz w:val="28"/>
          <w:szCs w:val="28"/>
          <w:lang w:eastAsia="el-GR"/>
        </w:rPr>
      </w:pPr>
      <w:r w:rsidRPr="00973D08">
        <w:rPr>
          <w:rFonts w:asciiTheme="majorHAnsi" w:eastAsia="Times New Roman" w:hAnsiTheme="majorHAnsi" w:cs="Arial"/>
          <w:color w:val="09314D"/>
          <w:sz w:val="28"/>
          <w:szCs w:val="28"/>
          <w:lang w:eastAsia="el-GR"/>
        </w:rPr>
        <w:t>Στην Ελλάδα, η προσχώρηση της χώρας στις Ευρωπαϊκές Κοινότητες και στη συνέχεια η κύρωση των Συνθηκών του </w:t>
      </w:r>
      <w:hyperlink r:id="rId7" w:tgtFrame="_blank" w:tooltip="Συνθήκη του Μάαστριχτ" w:history="1">
        <w:r w:rsidRPr="00973D08">
          <w:rPr>
            <w:rFonts w:asciiTheme="majorHAnsi" w:eastAsia="Times New Roman" w:hAnsiTheme="majorHAnsi" w:cs="Arial"/>
            <w:color w:val="C68125"/>
            <w:sz w:val="28"/>
            <w:szCs w:val="28"/>
            <w:bdr w:val="none" w:sz="0" w:space="0" w:color="auto" w:frame="1"/>
            <w:lang w:eastAsia="el-GR"/>
          </w:rPr>
          <w:t>Μάαστριχτ</w:t>
        </w:r>
      </w:hyperlink>
      <w:r w:rsidRPr="00973D08">
        <w:rPr>
          <w:rFonts w:asciiTheme="majorHAnsi" w:eastAsia="Times New Roman" w:hAnsiTheme="majorHAnsi" w:cs="Arial"/>
          <w:color w:val="09314D"/>
          <w:sz w:val="28"/>
          <w:szCs w:val="28"/>
          <w:lang w:eastAsia="el-GR"/>
        </w:rPr>
        <w:t>, του</w:t>
      </w:r>
      <w:r>
        <w:rPr>
          <w:rFonts w:asciiTheme="majorHAnsi" w:eastAsia="Times New Roman" w:hAnsiTheme="majorHAnsi" w:cs="Arial"/>
          <w:color w:val="09314D"/>
          <w:sz w:val="28"/>
          <w:szCs w:val="28"/>
          <w:lang w:eastAsia="el-GR"/>
        </w:rPr>
        <w:t xml:space="preserve"> </w:t>
      </w:r>
      <w:hyperlink r:id="rId8" w:tgtFrame="_blank" w:tooltip="Συνθήκη του Άμστερνταμ" w:history="1">
        <w:r w:rsidRPr="00973D08">
          <w:rPr>
            <w:rFonts w:asciiTheme="majorHAnsi" w:eastAsia="Times New Roman" w:hAnsiTheme="majorHAnsi" w:cs="Arial"/>
            <w:color w:val="C68125"/>
            <w:sz w:val="28"/>
            <w:szCs w:val="28"/>
            <w:bdr w:val="none" w:sz="0" w:space="0" w:color="auto" w:frame="1"/>
            <w:lang w:eastAsia="el-GR"/>
          </w:rPr>
          <w:t>Άμστερνταμ</w:t>
        </w:r>
      </w:hyperlink>
      <w:r w:rsidRPr="00973D08">
        <w:rPr>
          <w:rFonts w:asciiTheme="majorHAnsi" w:eastAsia="Times New Roman" w:hAnsiTheme="majorHAnsi" w:cs="Arial"/>
          <w:color w:val="09314D"/>
          <w:sz w:val="28"/>
          <w:szCs w:val="28"/>
          <w:lang w:eastAsia="el-GR"/>
        </w:rPr>
        <w:t>, της </w:t>
      </w:r>
      <w:hyperlink r:id="rId9" w:tgtFrame="_blank" w:tooltip="Συνθήκη της Νίκαιας" w:history="1">
        <w:r w:rsidRPr="00973D08">
          <w:rPr>
            <w:rFonts w:asciiTheme="majorHAnsi" w:eastAsia="Times New Roman" w:hAnsiTheme="majorHAnsi" w:cs="Arial"/>
            <w:color w:val="C68125"/>
            <w:sz w:val="28"/>
            <w:szCs w:val="28"/>
            <w:bdr w:val="none" w:sz="0" w:space="0" w:color="auto" w:frame="1"/>
            <w:lang w:eastAsia="el-GR"/>
          </w:rPr>
          <w:t>Νίκαιας</w:t>
        </w:r>
      </w:hyperlink>
      <w:r w:rsidRPr="00973D08">
        <w:rPr>
          <w:rFonts w:asciiTheme="majorHAnsi" w:eastAsia="Times New Roman" w:hAnsiTheme="majorHAnsi" w:cs="Arial"/>
          <w:color w:val="09314D"/>
          <w:sz w:val="28"/>
          <w:szCs w:val="28"/>
          <w:lang w:eastAsia="el-GR"/>
        </w:rPr>
        <w:t> και της </w:t>
      </w:r>
      <w:hyperlink r:id="rId10" w:tgtFrame="_blank" w:tooltip="Συνθήκη της Λισαβόνας" w:history="1">
        <w:r w:rsidRPr="00973D08">
          <w:rPr>
            <w:rFonts w:asciiTheme="majorHAnsi" w:eastAsia="Times New Roman" w:hAnsiTheme="majorHAnsi" w:cs="Arial"/>
            <w:color w:val="C68125"/>
            <w:sz w:val="28"/>
            <w:szCs w:val="28"/>
            <w:bdr w:val="none" w:sz="0" w:space="0" w:color="auto" w:frame="1"/>
            <w:lang w:eastAsia="el-GR"/>
          </w:rPr>
          <w:t>Λισαβόνας</w:t>
        </w:r>
      </w:hyperlink>
      <w:r w:rsidRPr="00973D08">
        <w:rPr>
          <w:rFonts w:asciiTheme="majorHAnsi" w:eastAsia="Times New Roman" w:hAnsiTheme="majorHAnsi" w:cs="Arial"/>
          <w:color w:val="09314D"/>
          <w:sz w:val="28"/>
          <w:szCs w:val="28"/>
          <w:lang w:eastAsia="el-GR"/>
        </w:rPr>
        <w:t xml:space="preserve">, έγιναν σύμφωνα τις διατάξεις του </w:t>
      </w:r>
      <w:r w:rsidRPr="00973D08">
        <w:rPr>
          <w:rFonts w:asciiTheme="majorHAnsi" w:eastAsia="Times New Roman" w:hAnsiTheme="majorHAnsi" w:cs="Arial"/>
          <w:b/>
          <w:color w:val="09314D"/>
          <w:sz w:val="28"/>
          <w:szCs w:val="28"/>
          <w:lang w:eastAsia="el-GR"/>
        </w:rPr>
        <w:t>άρθρου 28 παρ. 2 και 3 του </w:t>
      </w:r>
      <w:hyperlink r:id="rId11" w:tgtFrame="_blank" w:tooltip="Σύνταγμα της Ελλάδας" w:history="1">
        <w:r w:rsidRPr="00973D08">
          <w:rPr>
            <w:rFonts w:asciiTheme="majorHAnsi" w:eastAsia="Times New Roman" w:hAnsiTheme="majorHAnsi" w:cs="Arial"/>
            <w:b/>
            <w:color w:val="C68125"/>
            <w:sz w:val="28"/>
            <w:szCs w:val="28"/>
            <w:bdr w:val="none" w:sz="0" w:space="0" w:color="auto" w:frame="1"/>
            <w:lang w:eastAsia="el-GR"/>
          </w:rPr>
          <w:t>Συντάγματος</w:t>
        </w:r>
      </w:hyperlink>
      <w:r w:rsidRPr="00973D08">
        <w:rPr>
          <w:rFonts w:asciiTheme="majorHAnsi" w:eastAsia="Times New Roman" w:hAnsiTheme="majorHAnsi" w:cs="Arial"/>
          <w:b/>
          <w:color w:val="09314D"/>
          <w:sz w:val="28"/>
          <w:szCs w:val="28"/>
          <w:lang w:eastAsia="el-GR"/>
        </w:rPr>
        <w:t> που προβλέπουν ειδική αυξημένη πλειοψηφία για την ψήφιση του νόμου που κυρώνει αυτές τις συνθήκες.</w:t>
      </w:r>
    </w:p>
    <w:p w:rsidR="00973D08" w:rsidRPr="00973D08" w:rsidRDefault="00973D08" w:rsidP="00973D08">
      <w:pPr>
        <w:shd w:val="clear" w:color="auto" w:fill="FFFFFF"/>
        <w:spacing w:after="0" w:line="216" w:lineRule="atLeast"/>
        <w:jc w:val="both"/>
        <w:textAlignment w:val="baseline"/>
        <w:rPr>
          <w:rFonts w:asciiTheme="majorHAnsi" w:eastAsia="Times New Roman" w:hAnsiTheme="majorHAnsi" w:cs="Arial"/>
          <w:b/>
          <w:color w:val="09314D"/>
          <w:sz w:val="28"/>
          <w:szCs w:val="28"/>
          <w:lang w:eastAsia="el-GR"/>
        </w:rPr>
      </w:pPr>
      <w:bookmarkStart w:id="0" w:name="_GoBack"/>
      <w:bookmarkEnd w:id="0"/>
    </w:p>
    <w:p w:rsidR="00973D08" w:rsidRPr="00973D08" w:rsidRDefault="00973D08" w:rsidP="00973D08">
      <w:pPr>
        <w:shd w:val="clear" w:color="auto" w:fill="FFFFFF"/>
        <w:spacing w:after="0" w:line="216" w:lineRule="atLeast"/>
        <w:jc w:val="both"/>
        <w:textAlignment w:val="baseline"/>
        <w:rPr>
          <w:rFonts w:asciiTheme="majorHAnsi" w:eastAsia="Times New Roman" w:hAnsiTheme="majorHAnsi" w:cs="Arial"/>
          <w:color w:val="09314D"/>
          <w:sz w:val="28"/>
          <w:szCs w:val="28"/>
          <w:lang w:eastAsia="el-GR"/>
        </w:rPr>
      </w:pPr>
      <w:r w:rsidRPr="00973D08">
        <w:rPr>
          <w:rFonts w:asciiTheme="majorHAnsi" w:eastAsia="Times New Roman" w:hAnsiTheme="majorHAnsi" w:cs="Arial"/>
          <w:color w:val="09314D"/>
          <w:sz w:val="28"/>
          <w:szCs w:val="28"/>
          <w:lang w:eastAsia="el-GR"/>
        </w:rPr>
        <w:t>Αναφορικά με τις διαδικασίες αναθεώρησης των Συνθηκών της ΕΕ, σύμφωνα με το άρθρο 48 της </w:t>
      </w:r>
      <w:hyperlink r:id="rId12" w:tgtFrame="_blank" w:tooltip="Συνθήκη για την Ευρωπαϊκή Ένωση" w:history="1">
        <w:r w:rsidRPr="00973D08">
          <w:rPr>
            <w:rFonts w:asciiTheme="majorHAnsi" w:eastAsia="Times New Roman" w:hAnsiTheme="majorHAnsi" w:cs="Arial"/>
            <w:color w:val="C68125"/>
            <w:sz w:val="28"/>
            <w:szCs w:val="28"/>
            <w:bdr w:val="none" w:sz="0" w:space="0" w:color="auto" w:frame="1"/>
            <w:lang w:eastAsia="el-GR"/>
          </w:rPr>
          <w:t>Συνθήκης για την Ευρωπαϊκή Ένωση</w:t>
        </w:r>
      </w:hyperlink>
      <w:r w:rsidRPr="00973D08">
        <w:rPr>
          <w:rFonts w:asciiTheme="majorHAnsi" w:eastAsia="Times New Roman" w:hAnsiTheme="majorHAnsi" w:cs="Arial"/>
          <w:color w:val="09314D"/>
          <w:sz w:val="28"/>
          <w:szCs w:val="28"/>
          <w:lang w:eastAsia="el-GR"/>
        </w:rPr>
        <w:t>, όπως τροποποιήθηκε με τη Συνθήκη της Λισαβόνας:</w:t>
      </w:r>
    </w:p>
    <w:p w:rsidR="00973D08" w:rsidRPr="00973D08" w:rsidRDefault="00973D08" w:rsidP="00973D08">
      <w:pPr>
        <w:numPr>
          <w:ilvl w:val="0"/>
          <w:numId w:val="1"/>
        </w:numPr>
        <w:shd w:val="clear" w:color="auto" w:fill="FFFFFF"/>
        <w:spacing w:after="0" w:line="288" w:lineRule="atLeast"/>
        <w:ind w:left="270"/>
        <w:textAlignment w:val="baseline"/>
        <w:rPr>
          <w:rFonts w:asciiTheme="majorHAnsi" w:eastAsia="Times New Roman" w:hAnsiTheme="majorHAnsi" w:cs="Arial"/>
          <w:color w:val="09314D"/>
          <w:sz w:val="28"/>
          <w:szCs w:val="28"/>
          <w:lang w:eastAsia="el-GR"/>
        </w:rPr>
      </w:pPr>
      <w:r w:rsidRPr="00973D08">
        <w:rPr>
          <w:rFonts w:asciiTheme="majorHAnsi" w:eastAsia="Times New Roman" w:hAnsiTheme="majorHAnsi" w:cs="Arial"/>
          <w:color w:val="09314D"/>
          <w:sz w:val="28"/>
          <w:szCs w:val="28"/>
          <w:lang w:eastAsia="el-GR"/>
        </w:rPr>
        <w:t>στο πλαίσιο της </w:t>
      </w:r>
      <w:hyperlink r:id="rId13" w:tgtFrame="_blank" w:tooltip="συνήθης διαδικασία αναθεώρησης" w:history="1">
        <w:r w:rsidRPr="00973D08">
          <w:rPr>
            <w:rFonts w:asciiTheme="majorHAnsi" w:eastAsia="Times New Roman" w:hAnsiTheme="majorHAnsi" w:cs="Arial"/>
            <w:color w:val="C68125"/>
            <w:sz w:val="28"/>
            <w:szCs w:val="28"/>
            <w:bdr w:val="none" w:sz="0" w:space="0" w:color="auto" w:frame="1"/>
            <w:lang w:eastAsia="el-GR"/>
          </w:rPr>
          <w:t>συνήθους διαδικασίας αναθεώρησης</w:t>
        </w:r>
      </w:hyperlink>
      <w:r w:rsidRPr="00973D08">
        <w:rPr>
          <w:rFonts w:asciiTheme="majorHAnsi" w:eastAsia="Times New Roman" w:hAnsiTheme="majorHAnsi" w:cs="Arial"/>
          <w:color w:val="09314D"/>
          <w:sz w:val="28"/>
          <w:szCs w:val="28"/>
          <w:lang w:eastAsia="el-GR"/>
        </w:rPr>
        <w:t>, αντιπρόσωποι των εθνικών κοινοβουλίων συμμετέχουν στη Συνέλευση που καλείται να εξετάσει τα σχέδια αναθεώρησης,</w:t>
      </w:r>
    </w:p>
    <w:p w:rsidR="00973D08" w:rsidRPr="00973D08" w:rsidRDefault="00973D08" w:rsidP="00973D08">
      <w:pPr>
        <w:numPr>
          <w:ilvl w:val="0"/>
          <w:numId w:val="2"/>
        </w:numPr>
        <w:shd w:val="clear" w:color="auto" w:fill="FFFFFF"/>
        <w:spacing w:after="0" w:line="288" w:lineRule="atLeast"/>
        <w:ind w:left="270"/>
        <w:textAlignment w:val="baseline"/>
        <w:rPr>
          <w:rFonts w:asciiTheme="majorHAnsi" w:eastAsia="Times New Roman" w:hAnsiTheme="majorHAnsi" w:cs="Arial"/>
          <w:color w:val="09314D"/>
          <w:sz w:val="28"/>
          <w:szCs w:val="28"/>
          <w:lang w:eastAsia="el-GR"/>
        </w:rPr>
      </w:pPr>
      <w:r w:rsidRPr="00973D08">
        <w:rPr>
          <w:rFonts w:asciiTheme="majorHAnsi" w:eastAsia="Times New Roman" w:hAnsiTheme="majorHAnsi" w:cs="Arial"/>
          <w:color w:val="09314D"/>
          <w:sz w:val="28"/>
          <w:szCs w:val="28"/>
          <w:lang w:eastAsia="el-GR"/>
        </w:rPr>
        <w:t>στο πλαίσιο της </w:t>
      </w:r>
      <w:hyperlink r:id="rId14" w:tgtFrame="_blank" w:tooltip="απλοποιημένη διαδικασία" w:history="1">
        <w:r w:rsidRPr="00973D08">
          <w:rPr>
            <w:rFonts w:asciiTheme="majorHAnsi" w:eastAsia="Times New Roman" w:hAnsiTheme="majorHAnsi" w:cs="Arial"/>
            <w:color w:val="C68125"/>
            <w:sz w:val="28"/>
            <w:szCs w:val="28"/>
            <w:bdr w:val="none" w:sz="0" w:space="0" w:color="auto" w:frame="1"/>
            <w:lang w:eastAsia="el-GR"/>
          </w:rPr>
          <w:t>απλοποιημένης διαδικασίας</w:t>
        </w:r>
      </w:hyperlink>
      <w:r w:rsidRPr="00973D08">
        <w:rPr>
          <w:rFonts w:asciiTheme="majorHAnsi" w:eastAsia="Times New Roman" w:hAnsiTheme="majorHAnsi" w:cs="Arial"/>
          <w:color w:val="09314D"/>
          <w:sz w:val="28"/>
          <w:szCs w:val="28"/>
          <w:lang w:eastAsia="el-GR"/>
        </w:rPr>
        <w:t xml:space="preserve">, η αναθεώρηση των συνθηκών δεν απαιτεί τη σύγκληση Συνέλευσης. Ωστόσο, η έναρξη ισχύος των νέων διατάξεων προϋποθέτει την έγκρισή τους από κάθε κράτος μέλος βάσει των εκάστοτε συνταγματικών κανόνων του και συνεπάγεται την </w:t>
      </w:r>
      <w:proofErr w:type="spellStart"/>
      <w:r w:rsidRPr="00973D08">
        <w:rPr>
          <w:rFonts w:asciiTheme="majorHAnsi" w:eastAsia="Times New Roman" w:hAnsiTheme="majorHAnsi" w:cs="Arial"/>
          <w:color w:val="09314D"/>
          <w:sz w:val="28"/>
          <w:szCs w:val="28"/>
          <w:lang w:eastAsia="el-GR"/>
        </w:rPr>
        <w:t>de</w:t>
      </w:r>
      <w:proofErr w:type="spellEnd"/>
      <w:r w:rsidRPr="00973D08">
        <w:rPr>
          <w:rFonts w:asciiTheme="majorHAnsi" w:eastAsia="Times New Roman" w:hAnsiTheme="majorHAnsi" w:cs="Arial"/>
          <w:color w:val="09314D"/>
          <w:sz w:val="28"/>
          <w:szCs w:val="28"/>
          <w:lang w:eastAsia="el-GR"/>
        </w:rPr>
        <w:t xml:space="preserve"> </w:t>
      </w:r>
      <w:proofErr w:type="spellStart"/>
      <w:r w:rsidRPr="00973D08">
        <w:rPr>
          <w:rFonts w:asciiTheme="majorHAnsi" w:eastAsia="Times New Roman" w:hAnsiTheme="majorHAnsi" w:cs="Arial"/>
          <w:color w:val="09314D"/>
          <w:sz w:val="28"/>
          <w:szCs w:val="28"/>
          <w:lang w:eastAsia="el-GR"/>
        </w:rPr>
        <w:t>facto</w:t>
      </w:r>
      <w:proofErr w:type="spellEnd"/>
      <w:r w:rsidRPr="00973D08">
        <w:rPr>
          <w:rFonts w:asciiTheme="majorHAnsi" w:eastAsia="Times New Roman" w:hAnsiTheme="majorHAnsi" w:cs="Arial"/>
          <w:color w:val="09314D"/>
          <w:sz w:val="28"/>
          <w:szCs w:val="28"/>
          <w:lang w:eastAsia="el-GR"/>
        </w:rPr>
        <w:t xml:space="preserve"> παρέμβαση των εθνικών κοινοβουλίων,</w:t>
      </w:r>
    </w:p>
    <w:p w:rsidR="00973D08" w:rsidRPr="00973D08" w:rsidRDefault="00973D08" w:rsidP="00973D08">
      <w:pPr>
        <w:numPr>
          <w:ilvl w:val="0"/>
          <w:numId w:val="3"/>
        </w:numPr>
        <w:shd w:val="clear" w:color="auto" w:fill="FFFFFF"/>
        <w:spacing w:after="0" w:line="288" w:lineRule="atLeast"/>
        <w:ind w:left="270"/>
        <w:textAlignment w:val="baseline"/>
        <w:rPr>
          <w:rFonts w:asciiTheme="majorHAnsi" w:eastAsia="Times New Roman" w:hAnsiTheme="majorHAnsi" w:cs="Arial"/>
          <w:color w:val="09314D"/>
          <w:sz w:val="28"/>
          <w:szCs w:val="28"/>
          <w:lang w:eastAsia="el-GR"/>
        </w:rPr>
      </w:pPr>
      <w:r w:rsidRPr="00973D08">
        <w:rPr>
          <w:rFonts w:asciiTheme="majorHAnsi" w:eastAsia="Times New Roman" w:hAnsiTheme="majorHAnsi" w:cs="Arial"/>
          <w:color w:val="09314D"/>
          <w:sz w:val="28"/>
          <w:szCs w:val="28"/>
          <w:lang w:eastAsia="el-GR"/>
        </w:rPr>
        <w:t>στο πλαίσιο της </w:t>
      </w:r>
      <w:hyperlink r:id="rId15" w:tgtFrame="_blank" w:tooltip="γενική μεταβατική ρήτρα" w:history="1">
        <w:r w:rsidRPr="00973D08">
          <w:rPr>
            <w:rFonts w:asciiTheme="majorHAnsi" w:eastAsia="Times New Roman" w:hAnsiTheme="majorHAnsi" w:cs="Arial"/>
            <w:color w:val="C68125"/>
            <w:sz w:val="28"/>
            <w:szCs w:val="28"/>
            <w:bdr w:val="none" w:sz="0" w:space="0" w:color="auto" w:frame="1"/>
            <w:lang w:eastAsia="el-GR"/>
          </w:rPr>
          <w:t>γενικής μεταβατικής ρήτρας</w:t>
        </w:r>
      </w:hyperlink>
      <w:r w:rsidRPr="00973D08">
        <w:rPr>
          <w:rFonts w:asciiTheme="majorHAnsi" w:eastAsia="Times New Roman" w:hAnsiTheme="majorHAnsi" w:cs="Arial"/>
          <w:color w:val="09314D"/>
          <w:sz w:val="28"/>
          <w:szCs w:val="28"/>
          <w:lang w:eastAsia="el-GR"/>
        </w:rPr>
        <w:t>, η μετάβαση από ειδική νομοθετική διαδικασία σε συνήθη νομοθετική διαδικασία, ή από ομόφωνη ψήφο σε ψήφο με ειδική πλειοψηφία δεν είναι δυνατή χωρίς την έγκριση των εθνικών κοινοβουλίων.</w:t>
      </w:r>
    </w:p>
    <w:p w:rsidR="007B74AD" w:rsidRPr="00973D08" w:rsidRDefault="007B74AD">
      <w:pPr>
        <w:rPr>
          <w:rFonts w:asciiTheme="majorHAnsi" w:hAnsiTheme="majorHAnsi"/>
          <w:sz w:val="28"/>
          <w:szCs w:val="28"/>
        </w:rPr>
      </w:pPr>
    </w:p>
    <w:sectPr w:rsidR="007B74AD" w:rsidRPr="00973D0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A7CF4"/>
    <w:multiLevelType w:val="multilevel"/>
    <w:tmpl w:val="C4685F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87444D"/>
    <w:multiLevelType w:val="multilevel"/>
    <w:tmpl w:val="FBDCF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A65338"/>
    <w:multiLevelType w:val="multilevel"/>
    <w:tmpl w:val="A5C4EA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 w:ilvl="0">
        <w:numFmt w:val="bullet"/>
        <w:lvlText w:val=""/>
        <w:lvlJc w:val="left"/>
        <w:pPr>
          <w:tabs>
            <w:tab w:val="num" w:pos="720"/>
          </w:tabs>
          <w:ind w:left="720" w:hanging="360"/>
        </w:pPr>
        <w:rPr>
          <w:rFonts w:ascii="Symbol" w:hAnsi="Symbol" w:hint="default"/>
          <w:sz w:val="20"/>
        </w:rPr>
      </w:lvl>
    </w:lvlOverride>
  </w:num>
  <w:num w:numId="2">
    <w:abstractNumId w:val="0"/>
    <w:lvlOverride w:ilvl="0">
      <w:lvl w:ilvl="0">
        <w:numFmt w:val="bullet"/>
        <w:lvlText w:val=""/>
        <w:lvlJc w:val="left"/>
        <w:pPr>
          <w:tabs>
            <w:tab w:val="num" w:pos="720"/>
          </w:tabs>
          <w:ind w:left="720" w:hanging="360"/>
        </w:pPr>
        <w:rPr>
          <w:rFonts w:ascii="Symbol" w:hAnsi="Symbol" w:hint="default"/>
          <w:sz w:val="20"/>
        </w:rPr>
      </w:lvl>
    </w:lvlOverride>
  </w:num>
  <w:num w:numId="3">
    <w:abstractNumId w:val="1"/>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42B"/>
    <w:rsid w:val="00003AB6"/>
    <w:rsid w:val="000051EA"/>
    <w:rsid w:val="00005CFA"/>
    <w:rsid w:val="000101C5"/>
    <w:rsid w:val="000107E1"/>
    <w:rsid w:val="00014C68"/>
    <w:rsid w:val="0002713A"/>
    <w:rsid w:val="00027718"/>
    <w:rsid w:val="0003238F"/>
    <w:rsid w:val="00033EA3"/>
    <w:rsid w:val="00034653"/>
    <w:rsid w:val="00036710"/>
    <w:rsid w:val="00042E33"/>
    <w:rsid w:val="000606C6"/>
    <w:rsid w:val="00061524"/>
    <w:rsid w:val="00062F51"/>
    <w:rsid w:val="0006638B"/>
    <w:rsid w:val="00081CED"/>
    <w:rsid w:val="00095211"/>
    <w:rsid w:val="000C233D"/>
    <w:rsid w:val="000C2748"/>
    <w:rsid w:val="000E4CDA"/>
    <w:rsid w:val="000F7488"/>
    <w:rsid w:val="001151DA"/>
    <w:rsid w:val="00117EA8"/>
    <w:rsid w:val="001235F8"/>
    <w:rsid w:val="00126CAA"/>
    <w:rsid w:val="00132DC1"/>
    <w:rsid w:val="001341E7"/>
    <w:rsid w:val="00137023"/>
    <w:rsid w:val="001379EA"/>
    <w:rsid w:val="0014021D"/>
    <w:rsid w:val="00143813"/>
    <w:rsid w:val="00150D66"/>
    <w:rsid w:val="0015731B"/>
    <w:rsid w:val="00171C96"/>
    <w:rsid w:val="00190125"/>
    <w:rsid w:val="00195D3C"/>
    <w:rsid w:val="001973F7"/>
    <w:rsid w:val="001A1A87"/>
    <w:rsid w:val="001A2929"/>
    <w:rsid w:val="001F7B3C"/>
    <w:rsid w:val="0020524C"/>
    <w:rsid w:val="00210011"/>
    <w:rsid w:val="002144D6"/>
    <w:rsid w:val="00214CC9"/>
    <w:rsid w:val="00221C74"/>
    <w:rsid w:val="002229C1"/>
    <w:rsid w:val="00223700"/>
    <w:rsid w:val="002305E4"/>
    <w:rsid w:val="002457FF"/>
    <w:rsid w:val="002642BD"/>
    <w:rsid w:val="00275E36"/>
    <w:rsid w:val="002862DC"/>
    <w:rsid w:val="00296F49"/>
    <w:rsid w:val="002A0A58"/>
    <w:rsid w:val="002A12BE"/>
    <w:rsid w:val="002B00B8"/>
    <w:rsid w:val="002C0784"/>
    <w:rsid w:val="002C7F10"/>
    <w:rsid w:val="002D7513"/>
    <w:rsid w:val="002E0166"/>
    <w:rsid w:val="002E15EF"/>
    <w:rsid w:val="002F1B15"/>
    <w:rsid w:val="002F6BFA"/>
    <w:rsid w:val="003032F3"/>
    <w:rsid w:val="00313669"/>
    <w:rsid w:val="00320769"/>
    <w:rsid w:val="0032156F"/>
    <w:rsid w:val="00325A1A"/>
    <w:rsid w:val="00326BE5"/>
    <w:rsid w:val="003361D3"/>
    <w:rsid w:val="00336D5D"/>
    <w:rsid w:val="00337778"/>
    <w:rsid w:val="003557BF"/>
    <w:rsid w:val="00357B05"/>
    <w:rsid w:val="003617AF"/>
    <w:rsid w:val="00363BBD"/>
    <w:rsid w:val="00366A69"/>
    <w:rsid w:val="0036790E"/>
    <w:rsid w:val="0037366A"/>
    <w:rsid w:val="003A1D88"/>
    <w:rsid w:val="003B2D70"/>
    <w:rsid w:val="00406D6A"/>
    <w:rsid w:val="00414280"/>
    <w:rsid w:val="00415DB1"/>
    <w:rsid w:val="0041684A"/>
    <w:rsid w:val="00421095"/>
    <w:rsid w:val="004251BE"/>
    <w:rsid w:val="0042733B"/>
    <w:rsid w:val="00430C83"/>
    <w:rsid w:val="00431B71"/>
    <w:rsid w:val="00434C7D"/>
    <w:rsid w:val="00447867"/>
    <w:rsid w:val="00463358"/>
    <w:rsid w:val="004642BA"/>
    <w:rsid w:val="004656CE"/>
    <w:rsid w:val="00473A71"/>
    <w:rsid w:val="00473DF0"/>
    <w:rsid w:val="00486E47"/>
    <w:rsid w:val="00490F12"/>
    <w:rsid w:val="00493669"/>
    <w:rsid w:val="00497374"/>
    <w:rsid w:val="004A0913"/>
    <w:rsid w:val="004A1265"/>
    <w:rsid w:val="004B349D"/>
    <w:rsid w:val="004B393F"/>
    <w:rsid w:val="004B6A51"/>
    <w:rsid w:val="004C21E8"/>
    <w:rsid w:val="004C361D"/>
    <w:rsid w:val="004D1004"/>
    <w:rsid w:val="004E1DC7"/>
    <w:rsid w:val="004E7455"/>
    <w:rsid w:val="004F0DB2"/>
    <w:rsid w:val="004F669F"/>
    <w:rsid w:val="004F6A08"/>
    <w:rsid w:val="004F763A"/>
    <w:rsid w:val="00510608"/>
    <w:rsid w:val="005163CE"/>
    <w:rsid w:val="00522878"/>
    <w:rsid w:val="005243CE"/>
    <w:rsid w:val="00525017"/>
    <w:rsid w:val="0052536E"/>
    <w:rsid w:val="0052767B"/>
    <w:rsid w:val="0052781B"/>
    <w:rsid w:val="005364F7"/>
    <w:rsid w:val="00536C71"/>
    <w:rsid w:val="00554E48"/>
    <w:rsid w:val="0056005C"/>
    <w:rsid w:val="00560379"/>
    <w:rsid w:val="00565D7C"/>
    <w:rsid w:val="00566BE8"/>
    <w:rsid w:val="00582D5C"/>
    <w:rsid w:val="00584B8E"/>
    <w:rsid w:val="005921A5"/>
    <w:rsid w:val="0059326E"/>
    <w:rsid w:val="005A63D1"/>
    <w:rsid w:val="005B249E"/>
    <w:rsid w:val="005B473B"/>
    <w:rsid w:val="005B60F7"/>
    <w:rsid w:val="005C46C0"/>
    <w:rsid w:val="005C51ED"/>
    <w:rsid w:val="005C771B"/>
    <w:rsid w:val="005D2737"/>
    <w:rsid w:val="005D676A"/>
    <w:rsid w:val="005F6E24"/>
    <w:rsid w:val="0061594C"/>
    <w:rsid w:val="00631848"/>
    <w:rsid w:val="00634292"/>
    <w:rsid w:val="00636EEF"/>
    <w:rsid w:val="00644779"/>
    <w:rsid w:val="00646183"/>
    <w:rsid w:val="00661FD3"/>
    <w:rsid w:val="006719DB"/>
    <w:rsid w:val="00673529"/>
    <w:rsid w:val="00693C18"/>
    <w:rsid w:val="006A69DB"/>
    <w:rsid w:val="006C089B"/>
    <w:rsid w:val="006C1961"/>
    <w:rsid w:val="006C4557"/>
    <w:rsid w:val="006E4437"/>
    <w:rsid w:val="0071373F"/>
    <w:rsid w:val="00717FC9"/>
    <w:rsid w:val="0072787A"/>
    <w:rsid w:val="00731F5A"/>
    <w:rsid w:val="00732B80"/>
    <w:rsid w:val="007536AD"/>
    <w:rsid w:val="0076032B"/>
    <w:rsid w:val="007721CB"/>
    <w:rsid w:val="007733E2"/>
    <w:rsid w:val="00774CA8"/>
    <w:rsid w:val="00777508"/>
    <w:rsid w:val="0078767C"/>
    <w:rsid w:val="00793988"/>
    <w:rsid w:val="00796242"/>
    <w:rsid w:val="007A5260"/>
    <w:rsid w:val="007A5D7E"/>
    <w:rsid w:val="007B107F"/>
    <w:rsid w:val="007B74AD"/>
    <w:rsid w:val="007E456F"/>
    <w:rsid w:val="007F5122"/>
    <w:rsid w:val="00800448"/>
    <w:rsid w:val="00815068"/>
    <w:rsid w:val="00826FC8"/>
    <w:rsid w:val="00847674"/>
    <w:rsid w:val="00852EEF"/>
    <w:rsid w:val="00855870"/>
    <w:rsid w:val="00863B30"/>
    <w:rsid w:val="00866B39"/>
    <w:rsid w:val="00893CF1"/>
    <w:rsid w:val="00895CFA"/>
    <w:rsid w:val="0089604C"/>
    <w:rsid w:val="00897645"/>
    <w:rsid w:val="008B121C"/>
    <w:rsid w:val="008B49E6"/>
    <w:rsid w:val="008C1CFA"/>
    <w:rsid w:val="008C5BA0"/>
    <w:rsid w:val="008D6E8E"/>
    <w:rsid w:val="008F2BB2"/>
    <w:rsid w:val="008F3A91"/>
    <w:rsid w:val="008F7A95"/>
    <w:rsid w:val="008F7DDF"/>
    <w:rsid w:val="00903CB1"/>
    <w:rsid w:val="009176E7"/>
    <w:rsid w:val="00922476"/>
    <w:rsid w:val="009226FF"/>
    <w:rsid w:val="00931B6F"/>
    <w:rsid w:val="00941FF0"/>
    <w:rsid w:val="00943429"/>
    <w:rsid w:val="0094707D"/>
    <w:rsid w:val="0094763E"/>
    <w:rsid w:val="009500B5"/>
    <w:rsid w:val="00964132"/>
    <w:rsid w:val="009652D5"/>
    <w:rsid w:val="00971F32"/>
    <w:rsid w:val="009731AF"/>
    <w:rsid w:val="00973D08"/>
    <w:rsid w:val="00980147"/>
    <w:rsid w:val="009818B2"/>
    <w:rsid w:val="0098693D"/>
    <w:rsid w:val="00986B07"/>
    <w:rsid w:val="009876BC"/>
    <w:rsid w:val="00992C44"/>
    <w:rsid w:val="00992EF3"/>
    <w:rsid w:val="00995B2D"/>
    <w:rsid w:val="009A2616"/>
    <w:rsid w:val="009A3A55"/>
    <w:rsid w:val="009B2131"/>
    <w:rsid w:val="009B7D42"/>
    <w:rsid w:val="009C022E"/>
    <w:rsid w:val="009C224D"/>
    <w:rsid w:val="009C656B"/>
    <w:rsid w:val="009D0D73"/>
    <w:rsid w:val="009D0F8E"/>
    <w:rsid w:val="009F5278"/>
    <w:rsid w:val="00A17405"/>
    <w:rsid w:val="00A20DD9"/>
    <w:rsid w:val="00A22618"/>
    <w:rsid w:val="00A235E3"/>
    <w:rsid w:val="00A33BF9"/>
    <w:rsid w:val="00A409ED"/>
    <w:rsid w:val="00A41D52"/>
    <w:rsid w:val="00A52C02"/>
    <w:rsid w:val="00A62F3A"/>
    <w:rsid w:val="00A631B0"/>
    <w:rsid w:val="00A65F1B"/>
    <w:rsid w:val="00A670EF"/>
    <w:rsid w:val="00A71D93"/>
    <w:rsid w:val="00A82AF1"/>
    <w:rsid w:val="00A91D80"/>
    <w:rsid w:val="00A97DA3"/>
    <w:rsid w:val="00AA470E"/>
    <w:rsid w:val="00AB135C"/>
    <w:rsid w:val="00AB26F8"/>
    <w:rsid w:val="00AB2A5C"/>
    <w:rsid w:val="00AC368E"/>
    <w:rsid w:val="00AD1FA6"/>
    <w:rsid w:val="00AD44BA"/>
    <w:rsid w:val="00AE0726"/>
    <w:rsid w:val="00AE1AFF"/>
    <w:rsid w:val="00AE21E1"/>
    <w:rsid w:val="00AF55CE"/>
    <w:rsid w:val="00B07F50"/>
    <w:rsid w:val="00B15E4E"/>
    <w:rsid w:val="00B201F4"/>
    <w:rsid w:val="00B26F76"/>
    <w:rsid w:val="00B575AB"/>
    <w:rsid w:val="00B607C3"/>
    <w:rsid w:val="00B66B4D"/>
    <w:rsid w:val="00B7306C"/>
    <w:rsid w:val="00B8272A"/>
    <w:rsid w:val="00B8474D"/>
    <w:rsid w:val="00B953E5"/>
    <w:rsid w:val="00BB2450"/>
    <w:rsid w:val="00BB7C8C"/>
    <w:rsid w:val="00BC0F29"/>
    <w:rsid w:val="00BE65F7"/>
    <w:rsid w:val="00BF080D"/>
    <w:rsid w:val="00C0038A"/>
    <w:rsid w:val="00C01D2D"/>
    <w:rsid w:val="00C156D0"/>
    <w:rsid w:val="00C157E8"/>
    <w:rsid w:val="00C16796"/>
    <w:rsid w:val="00C57E11"/>
    <w:rsid w:val="00C658F6"/>
    <w:rsid w:val="00C85BCF"/>
    <w:rsid w:val="00C94EE3"/>
    <w:rsid w:val="00CA0509"/>
    <w:rsid w:val="00CA4B76"/>
    <w:rsid w:val="00CB03AF"/>
    <w:rsid w:val="00CB4BCB"/>
    <w:rsid w:val="00CD4832"/>
    <w:rsid w:val="00CD7892"/>
    <w:rsid w:val="00CE3CAE"/>
    <w:rsid w:val="00CE59C3"/>
    <w:rsid w:val="00CE6516"/>
    <w:rsid w:val="00D07153"/>
    <w:rsid w:val="00D157DE"/>
    <w:rsid w:val="00D17D8E"/>
    <w:rsid w:val="00D30250"/>
    <w:rsid w:val="00D31264"/>
    <w:rsid w:val="00D43E63"/>
    <w:rsid w:val="00D43F74"/>
    <w:rsid w:val="00D44991"/>
    <w:rsid w:val="00D50D88"/>
    <w:rsid w:val="00D57603"/>
    <w:rsid w:val="00D577F8"/>
    <w:rsid w:val="00D61717"/>
    <w:rsid w:val="00D67109"/>
    <w:rsid w:val="00D852E9"/>
    <w:rsid w:val="00D877F6"/>
    <w:rsid w:val="00D93EBB"/>
    <w:rsid w:val="00DA2ABA"/>
    <w:rsid w:val="00DA3CF1"/>
    <w:rsid w:val="00DA583A"/>
    <w:rsid w:val="00DB6812"/>
    <w:rsid w:val="00DC15E3"/>
    <w:rsid w:val="00DC1B96"/>
    <w:rsid w:val="00DE177C"/>
    <w:rsid w:val="00DE7BCC"/>
    <w:rsid w:val="00DF1821"/>
    <w:rsid w:val="00E0143B"/>
    <w:rsid w:val="00E120D1"/>
    <w:rsid w:val="00E142E1"/>
    <w:rsid w:val="00E239E9"/>
    <w:rsid w:val="00E33EC9"/>
    <w:rsid w:val="00E42838"/>
    <w:rsid w:val="00E46FF7"/>
    <w:rsid w:val="00E52F82"/>
    <w:rsid w:val="00E708EC"/>
    <w:rsid w:val="00E902DF"/>
    <w:rsid w:val="00E9634E"/>
    <w:rsid w:val="00E96845"/>
    <w:rsid w:val="00EA0961"/>
    <w:rsid w:val="00EA1792"/>
    <w:rsid w:val="00EA4CCF"/>
    <w:rsid w:val="00EB042B"/>
    <w:rsid w:val="00EB26D5"/>
    <w:rsid w:val="00EB75B9"/>
    <w:rsid w:val="00EB796E"/>
    <w:rsid w:val="00EC730D"/>
    <w:rsid w:val="00ED2B48"/>
    <w:rsid w:val="00ED516B"/>
    <w:rsid w:val="00F10974"/>
    <w:rsid w:val="00F12DA8"/>
    <w:rsid w:val="00F31033"/>
    <w:rsid w:val="00F40566"/>
    <w:rsid w:val="00F427CF"/>
    <w:rsid w:val="00F53B76"/>
    <w:rsid w:val="00F5404D"/>
    <w:rsid w:val="00F5613E"/>
    <w:rsid w:val="00F56C9A"/>
    <w:rsid w:val="00F74AF8"/>
    <w:rsid w:val="00F8006C"/>
    <w:rsid w:val="00F8517A"/>
    <w:rsid w:val="00F85496"/>
    <w:rsid w:val="00F91E0A"/>
    <w:rsid w:val="00F93BCE"/>
    <w:rsid w:val="00FA0566"/>
    <w:rsid w:val="00FA1A84"/>
    <w:rsid w:val="00FB1963"/>
    <w:rsid w:val="00FB4C19"/>
    <w:rsid w:val="00FB63D9"/>
    <w:rsid w:val="00FC59A2"/>
    <w:rsid w:val="00FE6206"/>
    <w:rsid w:val="00FE715E"/>
    <w:rsid w:val="00FF5E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19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opa.eu/legislation_summaries/institutional_affairs/treaties/amsterdam_treaty/index_el.htm" TargetMode="External"/><Relationship Id="rId13" Type="http://schemas.openxmlformats.org/officeDocument/2006/relationships/hyperlink" Target="http://europa.eu/legislation_summaries/institutional_affairs/treaties/lisbon_treaty/ai0013_el.htm" TargetMode="External"/><Relationship Id="rId3" Type="http://schemas.microsoft.com/office/2007/relationships/stylesWithEffects" Target="stylesWithEffects.xml"/><Relationship Id="rId7" Type="http://schemas.openxmlformats.org/officeDocument/2006/relationships/hyperlink" Target="http://europa.eu/legislation_summaries/institutional_affairs/treaties/treaties_maastricht_el.htm" TargetMode="External"/><Relationship Id="rId12" Type="http://schemas.openxmlformats.org/officeDocument/2006/relationships/hyperlink" Target="http://eur-lex.europa.eu/LexUriServ/LexUriServ.do?uri=OJ:C:2010:083:0047:020:el: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c.europa.eu/economy_finance/euro/emu/index_el.htm" TargetMode="External"/><Relationship Id="rId11" Type="http://schemas.openxmlformats.org/officeDocument/2006/relationships/hyperlink" Target="http://www.hellenicparliament.gr/Vouli-ton-Ellinon/To-Politevma/Syntagma/" TargetMode="External"/><Relationship Id="rId5" Type="http://schemas.openxmlformats.org/officeDocument/2006/relationships/webSettings" Target="webSettings.xml"/><Relationship Id="rId15" Type="http://schemas.openxmlformats.org/officeDocument/2006/relationships/hyperlink" Target="http://europa.eu/legislation_summaries/institutional_affairs/treaties/lisbon_treaty/ai0013_el.htm" TargetMode="External"/><Relationship Id="rId10" Type="http://schemas.openxmlformats.org/officeDocument/2006/relationships/hyperlink" Target="http://europa.eu/lisbon_treaty/index_el.htm" TargetMode="External"/><Relationship Id="rId4" Type="http://schemas.openxmlformats.org/officeDocument/2006/relationships/settings" Target="settings.xml"/><Relationship Id="rId9" Type="http://schemas.openxmlformats.org/officeDocument/2006/relationships/hyperlink" Target="http://europa.eu/legislation_summaries/institutional_affairs/treaties/nice_treaty/index_el.htm" TargetMode="External"/><Relationship Id="rId14" Type="http://schemas.openxmlformats.org/officeDocument/2006/relationships/hyperlink" Target="http://europa.eu/legislation_summaries/institutional_affairs/treaties/lisbon_treaty/ai0013_e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545</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Foteini</dc:creator>
  <cp:lastModifiedBy>Foteini</cp:lastModifiedBy>
  <cp:revision>2</cp:revision>
  <dcterms:created xsi:type="dcterms:W3CDTF">2014-11-11T16:14:00Z</dcterms:created>
  <dcterms:modified xsi:type="dcterms:W3CDTF">2014-11-11T16:14:00Z</dcterms:modified>
</cp:coreProperties>
</file>