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MT" w:cs="Arial"/>
          <w:b/>
          <w:bCs/>
          <w:i/>
          <w:iCs/>
          <w:color w:val="000000"/>
          <w:kern w:val="0"/>
          <w:sz w:val="28"/>
          <w:szCs w:val="28"/>
          <w:u w:val="single"/>
          <w:lang w:val="en-US" w:eastAsia="zh-CN" w:bidi="ar"/>
        </w:rPr>
      </w:pPr>
      <w:bookmarkStart w:id="0" w:name="_GoBack"/>
      <w:r>
        <w:rPr>
          <w:rFonts w:hint="default" w:ascii="Arial" w:hAnsi="Arial" w:eastAsia="ArialMT" w:cs="Arial"/>
          <w:b/>
          <w:bCs/>
          <w:i/>
          <w:iCs/>
          <w:color w:val="000000"/>
          <w:kern w:val="0"/>
          <w:sz w:val="44"/>
          <w:szCs w:val="44"/>
          <w:u w:val="single"/>
          <w:lang w:val="en-US" w:eastAsia="zh-CN" w:bidi="ar"/>
        </w:rPr>
        <w:t>NYPE 2015 - OWNERS TO PROVIDE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The Owners shall provide and pay for the insurances of the Vessel, except as otherwise provided,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92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and for all provisions, cabin, deck, engine-room and other necessary stores, boiler water and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93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lubricating oil; shall pay for wages, consular shipping and discharging fees of the crew and charges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94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for port services pertaining to the crew/crew visas; shall maintain the Vessel’s class and keep her in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95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a thoroughly efficient state in hull, machinery and equipment for and during the service, and have 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96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full complement of Master, officers and ratings.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97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(b)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The Owners shall provide any documentation relating to the Vessel as required to permit the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98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>Vessel to trade within the agreed limits, including but not limited to International Tonnage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Certificate, Suez and Panama tonnage certificates, Certificates of Registry, and certificates relating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to the strength, safety and/or serviceability of the Vessel’s gear. Such documentation shall be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101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maintained during the currency of the Charter Party as necessary.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102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Owners shall also provide and maintain such Certificates of Financial Responsibility for oil pollution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103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to permit the Vessel to trade within the agreed limits as may be required at the commencement of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104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the Charter Party. However, in the event that, at the time of renewal, a Certificate of Financial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105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Responsibility is unavailable in the market place, or, the premium for same increases significantly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106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over the course of the Charter Party, then Owners and Charterers shall discuss each with the other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107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to find a mutually agreeable solution for same, failing such solution the port(s) that require said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108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Certificate of Financial Responsibility are to be considered as added to the Vessel's trading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109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exclusions. (See also Clause 18 (Pollution)).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110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(c)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The Vessel to work night and day if required by the Charterers, with crew opening and closing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111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hatches, when and where required and permitted by shore labor regulations, otherwise shore labor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112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>for same shall be for the Charterers’ account.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26F1F"/>
    <w:rsid w:val="17326F1F"/>
    <w:rsid w:val="203E7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2020-09-29T17:15:00Z</dcterms:created>
  <dc:creator>User</dc:creator>
  <cp:lastModifiedBy>Nikolaos Pentheroudakis</cp:lastModifiedBy>
  <dcterms:modified xsi:type="dcterms:W3CDTF">2021-05-28T19:37:54Z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